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黑体" w:hAnsi="黑体" w:eastAsia="方正小标宋简体" w:cs="黑体"/>
          <w:b w:val="0"/>
          <w:bCs w:val="0"/>
          <w:sz w:val="32"/>
          <w:szCs w:val="32"/>
          <w:lang w:val="en-US" w:eastAsia="zh-CN"/>
        </w:rPr>
      </w:pPr>
      <w:r>
        <w:rPr>
          <w:rFonts w:hint="eastAsia" w:ascii="方正小标宋简体" w:eastAsia="方正小标宋简体"/>
          <w:sz w:val="44"/>
          <w:szCs w:val="44"/>
        </w:rPr>
        <w:t>乳源瑶族自治县</w:t>
      </w:r>
      <w:r>
        <w:rPr>
          <w:rFonts w:hint="eastAsia" w:ascii="方正小标宋简体" w:eastAsia="方正小标宋简体"/>
          <w:sz w:val="44"/>
          <w:szCs w:val="44"/>
          <w:lang w:val="en-US" w:eastAsia="zh-CN"/>
        </w:rPr>
        <w:t>2022年全国文明城市创建工作总结</w:t>
      </w:r>
    </w:p>
    <w:p>
      <w:pPr>
        <w:pStyle w:val="10"/>
        <w:keepNext w:val="0"/>
        <w:keepLines w:val="0"/>
        <w:pageBreakBefore w:val="0"/>
        <w:kinsoku/>
        <w:wordWrap/>
        <w:overflowPunct/>
        <w:topLinePunct w:val="0"/>
        <w:autoSpaceDE/>
        <w:autoSpaceDN/>
        <w:bidi w:val="0"/>
        <w:snapToGrid/>
        <w:spacing w:line="240" w:lineRule="auto"/>
        <w:ind w:left="0" w:leftChars="0" w:firstLine="0" w:firstLineChars="0"/>
        <w:rPr>
          <w:rFonts w:hint="eastAsia" w:ascii="楷体_GB2312" w:eastAsia="楷体_GB2312"/>
          <w:sz w:val="32"/>
          <w:szCs w:val="22"/>
          <w:lang w:val="en-US" w:eastAsia="zh-CN"/>
        </w:rPr>
      </w:pPr>
    </w:p>
    <w:p>
      <w:pPr>
        <w:pStyle w:val="10"/>
        <w:keepNext w:val="0"/>
        <w:keepLines w:val="0"/>
        <w:pageBreakBefore w:val="0"/>
        <w:kinsoku/>
        <w:wordWrap/>
        <w:overflowPunct/>
        <w:topLinePunct w:val="0"/>
        <w:autoSpaceDE/>
        <w:autoSpaceDN/>
        <w:bidi w:val="0"/>
        <w:snapToGrid/>
        <w:spacing w:line="240" w:lineRule="auto"/>
        <w:rPr>
          <w:rFonts w:hint="eastAsia"/>
        </w:rPr>
      </w:pPr>
      <w:r>
        <w:rPr>
          <w:rFonts w:hint="eastAsia" w:ascii="仿宋_GB2312" w:hAnsi="仿宋_GB2312" w:eastAsia="仿宋_GB2312" w:cs="仿宋_GB2312"/>
          <w:sz w:val="32"/>
          <w:szCs w:val="32"/>
          <w:lang w:val="en-US" w:eastAsia="zh-CN"/>
        </w:rPr>
        <w:t>2022年</w:t>
      </w:r>
      <w:r>
        <w:rPr>
          <w:rFonts w:hint="eastAsia" w:ascii="仿宋_GB2312" w:hAnsi="仿宋_GB2312" w:eastAsia="仿宋_GB2312" w:cs="仿宋_GB2312"/>
          <w:sz w:val="32"/>
          <w:szCs w:val="32"/>
        </w:rPr>
        <w:t>，我县以习近平新时代中国特色社会主义思想为指导</w:t>
      </w:r>
      <w:r>
        <w:rPr>
          <w:rFonts w:hint="eastAsia" w:ascii="仿宋_GB2312" w:hAnsi="仿宋_GB2312" w:eastAsia="仿宋_GB2312" w:cs="仿宋_GB2312"/>
          <w:sz w:val="32"/>
          <w:szCs w:val="32"/>
          <w:lang w:eastAsia="zh-CN"/>
        </w:rPr>
        <w:t>，深入学习贯彻习近平总书记关于精神文明建设的重要论述和重要指示批示精神，</w:t>
      </w:r>
      <w:r>
        <w:rPr>
          <w:rFonts w:hint="eastAsia" w:ascii="仿宋_GB2312" w:hAnsi="仿宋_GB2312" w:eastAsia="仿宋_GB2312" w:cs="仿宋_GB2312"/>
          <w:sz w:val="32"/>
          <w:szCs w:val="32"/>
          <w:lang w:val="en-US" w:eastAsia="zh-CN"/>
        </w:rPr>
        <w:t>贯彻落实省、市文明办工作部署和要求，始终</w:t>
      </w:r>
      <w:r>
        <w:rPr>
          <w:rFonts w:hint="eastAsia" w:ascii="仿宋_GB2312" w:hAnsi="仿宋_GB2312" w:eastAsia="仿宋_GB2312" w:cs="仿宋_GB2312"/>
          <w:sz w:val="32"/>
          <w:szCs w:val="32"/>
        </w:rPr>
        <w:t>秉持“全民参与、共建共享”的工作理念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全面深入推进</w:t>
      </w:r>
      <w:r>
        <w:rPr>
          <w:rFonts w:hint="eastAsia" w:ascii="仿宋_GB2312" w:hAnsi="仿宋_GB2312" w:eastAsia="仿宋_GB2312" w:cs="仿宋_GB2312"/>
          <w:sz w:val="32"/>
          <w:szCs w:val="32"/>
          <w:lang w:eastAsia="zh-CN"/>
        </w:rPr>
        <w:t>文明创建</w:t>
      </w:r>
      <w:r>
        <w:rPr>
          <w:rFonts w:hint="eastAsia" w:ascii="仿宋_GB2312" w:hAnsi="仿宋_GB2312" w:eastAsia="仿宋_GB2312" w:cs="仿宋_GB2312"/>
          <w:sz w:val="32"/>
          <w:szCs w:val="32"/>
        </w:rPr>
        <w:t>工作。现将</w:t>
      </w:r>
      <w:r>
        <w:rPr>
          <w:rFonts w:hint="eastAsia" w:ascii="仿宋_GB2312" w:hAnsi="仿宋_GB2312" w:eastAsia="仿宋_GB2312" w:cs="仿宋_GB2312"/>
          <w:sz w:val="32"/>
          <w:szCs w:val="32"/>
          <w:lang w:val="en-US" w:eastAsia="zh-CN"/>
        </w:rPr>
        <w:t>本年度创文工作小结</w:t>
      </w:r>
      <w:r>
        <w:rPr>
          <w:rFonts w:hint="eastAsia" w:ascii="仿宋_GB2312" w:hAnsi="仿宋_GB2312" w:eastAsia="仿宋_GB2312" w:cs="仿宋_GB2312"/>
          <w:sz w:val="32"/>
          <w:szCs w:val="32"/>
        </w:rPr>
        <w:t>如下：</w:t>
      </w:r>
    </w:p>
    <w:p>
      <w:pPr>
        <w:keepNext w:val="0"/>
        <w:keepLines w:val="0"/>
        <w:pageBreakBefore w:val="0"/>
        <w:numPr>
          <w:ilvl w:val="0"/>
          <w:numId w:val="0"/>
        </w:numPr>
        <w:kinsoku/>
        <w:wordWrap/>
        <w:overflowPunct/>
        <w:topLinePunct w:val="0"/>
        <w:autoSpaceDE/>
        <w:autoSpaceDN/>
        <w:bidi w:val="0"/>
        <w:snapToGrid/>
        <w:spacing w:line="240" w:lineRule="auto"/>
        <w:ind w:firstLine="640" w:firstLineChars="200"/>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一、工作成效</w:t>
      </w:r>
    </w:p>
    <w:p>
      <w:pPr>
        <w:keepNext w:val="0"/>
        <w:keepLines w:val="0"/>
        <w:pageBreakBefore w:val="0"/>
        <w:numPr>
          <w:ilvl w:val="0"/>
          <w:numId w:val="0"/>
        </w:numPr>
        <w:kinsoku/>
        <w:wordWrap/>
        <w:overflowPunct/>
        <w:topLinePunct w:val="0"/>
        <w:autoSpaceDE/>
        <w:autoSpaceDN/>
        <w:bidi w:val="0"/>
        <w:snapToGrid/>
        <w:spacing w:line="240" w:lineRule="auto"/>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（一）推动创建工作迈向高质量</w:t>
      </w:r>
    </w:p>
    <w:p>
      <w:pPr>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乳源不断整合创建资源，加强组织领导，充实创建工作队伍。成立了由书记任组长，县长任常务副组长、县四套班子有关成员任副组长，各网格单位主要负责同志任组员的创文工作领导小组，内设各功能专责小组，全面统筹创文各项工作。县委书记</w:t>
      </w:r>
      <w:r>
        <w:rPr>
          <w:rFonts w:hint="eastAsia" w:ascii="仿宋_GB2312" w:hAnsi="仿宋_GB2312" w:eastAsia="仿宋_GB2312" w:cs="仿宋_GB2312"/>
          <w:b w:val="0"/>
          <w:bCs w:val="0"/>
          <w:kern w:val="2"/>
          <w:sz w:val="32"/>
          <w:szCs w:val="32"/>
          <w:lang w:val="en-US" w:eastAsia="zh-CN" w:bidi="ar-SA"/>
        </w:rPr>
        <w:t>每月主持</w:t>
      </w:r>
      <w:r>
        <w:rPr>
          <w:rFonts w:hint="eastAsia" w:ascii="仿宋_GB2312" w:hAnsi="仿宋_GB2312" w:eastAsia="仿宋_GB2312" w:cs="仿宋_GB2312"/>
          <w:b w:val="0"/>
          <w:bCs w:val="0"/>
          <w:kern w:val="2"/>
          <w:sz w:val="32"/>
          <w:szCs w:val="32"/>
          <w:lang w:val="en-US" w:eastAsia="zh-CN" w:bidi="ar-SA"/>
        </w:rPr>
        <w:t>召开</w:t>
      </w:r>
      <w:r>
        <w:rPr>
          <w:rFonts w:hint="eastAsia" w:ascii="仿宋_GB2312" w:hAnsi="仿宋_GB2312" w:eastAsia="仿宋_GB2312" w:cs="仿宋_GB2312"/>
          <w:b w:val="0"/>
          <w:bCs w:val="0"/>
          <w:kern w:val="2"/>
          <w:sz w:val="32"/>
          <w:szCs w:val="32"/>
          <w:lang w:val="en-US" w:eastAsia="zh-CN" w:bidi="ar-SA"/>
        </w:rPr>
        <w:t>创</w:t>
      </w:r>
      <w:r>
        <w:rPr>
          <w:rFonts w:hint="eastAsia" w:ascii="仿宋_GB2312" w:hAnsi="仿宋_GB2312" w:eastAsia="仿宋_GB2312" w:cs="仿宋_GB2312"/>
          <w:b w:val="0"/>
          <w:bCs w:val="0"/>
          <w:kern w:val="2"/>
          <w:sz w:val="32"/>
          <w:szCs w:val="32"/>
          <w:lang w:val="en-US" w:eastAsia="zh-CN" w:bidi="ar-SA"/>
        </w:rPr>
        <w:t>文工作例会，县委副书记按需主持联席研讨会，高位推进、狠抓落实，推动27个重点难点问题加快解决。加大创建经费投入，在2021-2023年这一周期以每年不少于500万元列支作为创文工作经费预算。配置功能专责小组，成立资料组、实地组、未成年人组、宣传组四个小组专职负责创文工作具体事宜，强化对全县各单位创文工作的业务指导和综合协调。</w:t>
      </w:r>
    </w:p>
    <w:p>
      <w:pPr>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同时，优化网格综合治理，将县城区划分为4大片区37个网格，由县四套班子领导担任区长和网格长，纳入党建</w:t>
      </w:r>
      <w:r>
        <w:rPr>
          <w:rFonts w:hint="eastAsia" w:ascii="仿宋_GB2312" w:hAnsi="仿宋_GB2312" w:eastAsia="仿宋_GB2312" w:cs="仿宋_GB2312"/>
          <w:b w:val="0"/>
          <w:bCs w:val="0"/>
          <w:kern w:val="2"/>
          <w:sz w:val="32"/>
          <w:szCs w:val="32"/>
          <w:lang w:val="en-US" w:eastAsia="zh-CN" w:bidi="ar-SA"/>
        </w:rPr>
        <w:t>、综治、创文、创卫、疫情防控等工作，实现多网融合、一网运行。坚持网格化和清单式管理。严格落实网格巡查、周五固定清洁日、一周一主题派单等活动，实施滚动式监督抽查，及时发现并反馈问题，每月对网格管理情况进行综合打分和排名，每季度形成督查考评通报。</w:t>
      </w:r>
    </w:p>
    <w:p>
      <w:pPr>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创新城市顽疾治理方式。通过实地调研+专题会议研究背街小巷、私房菜馆、校外培训机构、居民小区等问题，召开了8次全县创文工作例会，有效解决了公共秩序、环境卫生、基础设施等市民反映强烈的问题共382项，有力推动了背街小巷路灯安装、校园周边环境治理、城市“三线”整治等城市管理顽疾的治理工作。在每周五“固定清洁日”，重点整治县城、各镇、公路沿线“牛皮癣”、卫生死角和“脏、乱、差”现象。2022年，共清理卫生死角1000余处，清洗“牛皮癣”约13000张，清理乱堆乱放杂物、废土约1080车，极大改善了县城群众生活环境；</w:t>
      </w:r>
    </w:p>
    <w:p>
      <w:pPr>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积极开展卫生镇村创建活动，改善农村环境面貌。为提高卫生村受益人口数，乳源从2015年开始以行政村为单位申报创建卫生村，制定并印发了《乳源瑶族自治县2015-2020年加快推进创建卫生镇村工作方案》，方案对创建工作进行了详细部署，并组织相关单位对各卫生镇村创建工作进行了督导。目前全县成功创建了6个省卫生镇，1个市卫生镇，25个省</w:t>
      </w:r>
      <w:r>
        <w:rPr>
          <w:rFonts w:hint="eastAsia" w:ascii="仿宋_GB2312" w:hAnsi="仿宋_GB2312" w:eastAsia="仿宋_GB2312" w:cs="仿宋_GB2312"/>
          <w:b w:val="0"/>
          <w:bCs w:val="0"/>
          <w:kern w:val="2"/>
          <w:sz w:val="32"/>
          <w:szCs w:val="32"/>
          <w:lang w:val="en-US" w:eastAsia="zh-CN" w:bidi="ar-SA"/>
        </w:rPr>
        <w:t>卫生村，54个市卫生村，卫生村覆盖率达到77.74%；</w:t>
      </w:r>
    </w:p>
    <w:p>
      <w:pPr>
        <w:ind w:firstLine="640" w:firstLineChars="200"/>
        <w:rPr>
          <w:rFonts w:hint="eastAsia"/>
          <w:lang w:val="en-US" w:eastAsia="zh-CN"/>
        </w:rPr>
      </w:pPr>
      <w:r>
        <w:rPr>
          <w:rFonts w:hint="eastAsia" w:ascii="仿宋_GB2312" w:hAnsi="仿宋_GB2312" w:eastAsia="仿宋_GB2312" w:cs="仿宋_GB2312"/>
          <w:b w:val="0"/>
          <w:bCs w:val="0"/>
          <w:kern w:val="2"/>
          <w:sz w:val="32"/>
          <w:szCs w:val="32"/>
          <w:lang w:val="en-US" w:eastAsia="zh-CN" w:bidi="ar-SA"/>
        </w:rPr>
        <w:t>该县根据中央下发的2022年版全国县级文明城市测评体系操作手册，结合乳源实际修订印发了《乳源瑶族自治县2022年全国文明城市测评体系操作手册》等5份创建标准文件，调整了《乳源瑶族自治县创建全国文明城市网格化管理实施方案》，细化创建标准，实行奖惩机制，确保创文网格化管理工作高效常态化推进。成立巡察督导组，实施一事一督办、一周一派单、一月一考核、一季一通报制度，每季度组织一次模拟测评并形成测评分析报告及问题清单，提出整改意见和期限，要求各责任单位举一反三、循序渐进整改，监督与激励相结合，压实责任、形成合力。截至11月，共发出交办通知29份，主题派</w:t>
      </w:r>
      <w:r>
        <w:rPr>
          <w:rFonts w:hint="eastAsia" w:ascii="仿宋_GB2312" w:hAnsi="仿宋_GB2312" w:eastAsia="仿宋_GB2312" w:cs="仿宋_GB2312"/>
          <w:b w:val="0"/>
          <w:bCs w:val="0"/>
          <w:kern w:val="2"/>
          <w:sz w:val="32"/>
          <w:szCs w:val="32"/>
          <w:lang w:val="en-US" w:eastAsia="zh-CN" w:bidi="ar-SA"/>
        </w:rPr>
        <w:t>单44</w:t>
      </w:r>
      <w:r>
        <w:rPr>
          <w:rFonts w:hint="eastAsia" w:ascii="仿宋_GB2312" w:hAnsi="仿宋_GB2312" w:eastAsia="仿宋_GB2312" w:cs="仿宋_GB2312"/>
          <w:b w:val="0"/>
          <w:bCs w:val="0"/>
          <w:kern w:val="2"/>
          <w:sz w:val="32"/>
          <w:szCs w:val="32"/>
          <w:lang w:val="en-US" w:eastAsia="zh-CN" w:bidi="ar-SA"/>
        </w:rPr>
        <w:t>项</w:t>
      </w:r>
      <w:r>
        <w:rPr>
          <w:rFonts w:hint="eastAsia" w:ascii="仿宋_GB2312" w:hAnsi="仿宋_GB2312" w:eastAsia="仿宋_GB2312" w:cs="仿宋_GB2312"/>
          <w:b w:val="0"/>
          <w:bCs w:val="0"/>
          <w:kern w:val="2"/>
          <w:sz w:val="32"/>
          <w:szCs w:val="32"/>
          <w:lang w:val="en-US" w:eastAsia="zh-CN" w:bidi="ar-SA"/>
        </w:rPr>
        <w:t>，检查情况通报30份，季度通报3份。</w:t>
      </w:r>
    </w:p>
    <w:p>
      <w:pPr>
        <w:keepNext w:val="0"/>
        <w:keepLines w:val="0"/>
        <w:pageBreakBefore w:val="0"/>
        <w:numPr>
          <w:ilvl w:val="0"/>
          <w:numId w:val="0"/>
        </w:numPr>
        <w:kinsoku/>
        <w:wordWrap/>
        <w:overflowPunct/>
        <w:topLinePunct w:val="0"/>
        <w:autoSpaceDE/>
        <w:autoSpaceDN/>
        <w:bidi w:val="0"/>
        <w:snapToGrid/>
        <w:spacing w:line="240" w:lineRule="auto"/>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（二）以文明实践助推文明城市创建</w:t>
      </w:r>
    </w:p>
    <w:p>
      <w:pPr>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2018年、2019年，乳源连续两年列入全国新时代文明实践中心建设试点县（市、区）。按照“标准型”+“精品型”的思路，整合资源，规范化建设了1个实践中心、14个实践所、118个实践站和126个实践点的文明实践阵地，文明实践网络覆盖全县。新时代文明实践互助会筹措资金2000多万元。大力实施《乳源瑶族自治县志愿服务激励回馈办法》和《农民志愿服务积分兑换办法》，制定《爱心商家评选细则》，发动广大群众加入志愿服务队伍。目前发展志愿者3.1万多名，其中农民志愿者1.3万多名，全县志愿者增量近5倍，参与志愿者回馈爱心商家30余家；培育孵化精品项目51个，9个项目在省级志愿服务项目大赛中荣获示范项目奖等殊荣，其中“金鸪鸪”瑶乡文艺帮扶共建项目荣获第五届中国青年志愿服务项目大赛全国赛银奖。随着新时代文明实践中心建设工作的深入开展，“有时间做志愿者，有需要找志愿者”在乳源已成为常态。</w:t>
      </w:r>
    </w:p>
    <w:p>
      <w:pPr>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该县持续深化拓展新时代文明实践中心建设，增强文明实践号召力。统筹发动镇村、行政单位、社会公益组织、爱心商家力量，常态化开展理论宣讲、政策宣传、科技文化、扶幼济困、捐赠义诊、疫情防控等志愿服务活动，力求供需精准对接，做到月月有服务、节节有庆祝。依托综合网格管理，常态化开展疫情防控、周五固定清洁日、网格秩序巡查、防洪防汛、全民反诈等志愿服务活动；依托平安志愿者、红袖章志愿者、新时代文明实践志愿者、党员志愿者等团体，经常性开展关爱空巢老人、关爱留守儿童、关爱残疾人、文化文艺、法律援助、无偿献血、义诊、社会治安等文明城市创建志愿服务，暑期还引入了“小手拉大手 文明一起走”文明交通劝导志愿服务，近期持续举办的“烟头不落地 文明共传递”烟头换鸡蛋志愿服务活动等，营造了良好的志愿服务氛围，有效提高群众的支持率和满意度。积极促进健康讲堂进学校、进社区、进机关、进企业、进乡村“五进”活动，开展健康宣讲50余次，健康教育覆盖率达100%，做到有课时、有教师、有教材、有教案、有评价。积极开展各类控烟宣传教育活动，目前全县已有38个单位通过省级无烟单位验收，获得了省级无烟单位称号。</w:t>
      </w:r>
    </w:p>
    <w:p>
      <w:pPr>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各网格责任单位志愿者常态化开展创文入户宣传和问卷调查。一是加大宣传力度。通过线上线下开展问卷调查入商铺、入小区、入公园广场、入网站等活动，加强调查问卷的解读引导和创文成就宣传，通过打造“抬眼可见、驻足即观”的公益广告宣传阵地，积极推送创文一周工作动态和专项宣传信息等，营造浓厚的文明氛围，有效提高群众知晓率。二是创新宣传方式。广泛宣传发动群众参与主题活动，开启爱心维修、义剪、手工美食劳动技能等浸入小区式便民主题活动，使文明实践活动更贴切居民生活，有效提高群众活动参与率。</w:t>
      </w:r>
    </w:p>
    <w:p>
      <w:pPr>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积极举办丰富多彩的“和美乳源”主题活动，引导群众参与“全民随手拍”，用镜头记录文明瞬间、用镜头曝光不文明行为，依托丰富多彩的形式提高市民文明创建的主人翁热情。以精神文明创建九大行动为抓手，动员2.8万名“文明交通志愿者”“文明旅游志愿者”“垃圾分类志愿者”成为文明城市创建的“编外”力量，让更多的人成为文明行动的实践者、文明风尚的传播者，共同关心、支持和参与文明城市创建。“我加入的是‘为民’创文创卫队，平时经常走街串巷送快递，参与社区创文随手拍也方便，能出份力，做点贡献，我也开心。”快递员张先生说。乳源各社区党组织致力于把社区打造成为群众守望相助的大家庭，将志愿服务和基层治理有机融合，在“红色为民驿站”组建志愿服务队，引导社区的党员群众根据自身兴趣、优势，加入“为民”调解纠纷队、“为民”宣讲政策队、“为民”上门服务队、“为民”防疫服务队等，进一步发挥“主人翁”精神参与到社区服务和基层治理中，为群众办了一批实事、解决了一批难题。群众需要什么，“红色为民驿站”就提供什么。在夯实“硬环境”的基础上，乳源社区党组织联合共建的网格单位党组织、物业公司党支部、社会公益组织等，根据群众“微心愿”“点单”情况，每月在驿站推出固定日党群服务活动，如“我们的节日”、趣味运动会、包饺子联谊、政策宣讲等，让驿站热闹起来、温暖起来。</w:t>
      </w:r>
    </w:p>
    <w:p>
      <w:pPr>
        <w:keepNext w:val="0"/>
        <w:keepLines w:val="0"/>
        <w:pageBreakBefore w:val="0"/>
        <w:numPr>
          <w:ilvl w:val="0"/>
          <w:numId w:val="0"/>
        </w:numPr>
        <w:kinsoku/>
        <w:wordWrap/>
        <w:overflowPunct/>
        <w:topLinePunct w:val="0"/>
        <w:autoSpaceDE/>
        <w:autoSpaceDN/>
        <w:bidi w:val="0"/>
        <w:snapToGrid/>
        <w:spacing w:line="240" w:lineRule="auto"/>
        <w:ind w:firstLine="640" w:firstLineChars="200"/>
        <w:rPr>
          <w:rFonts w:hint="eastAsia" w:ascii="楷体_GB2312" w:hAnsi="楷体_GB2312" w:eastAsia="楷体_GB2312" w:cs="楷体_GB2312"/>
          <w:sz w:val="32"/>
          <w:szCs w:val="32"/>
          <w:lang w:val="en-US" w:eastAsia="zh-CN"/>
        </w:rPr>
      </w:pPr>
      <w:bookmarkStart w:id="0" w:name="_GoBack"/>
      <w:r>
        <w:rPr>
          <w:rFonts w:hint="eastAsia" w:ascii="楷体_GB2312" w:hAnsi="楷体_GB2312" w:eastAsia="楷体_GB2312" w:cs="楷体_GB2312"/>
          <w:sz w:val="32"/>
          <w:szCs w:val="32"/>
          <w:lang w:val="en-US" w:eastAsia="zh-CN"/>
        </w:rPr>
        <w:t>（三）发挥先进典型示范引领作用</w:t>
      </w:r>
    </w:p>
    <w:bookmarkEnd w:id="0"/>
    <w:p>
      <w:pPr>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近年来，“道德讲堂”“我们的节日”“道德春联进万家”“和谐•友善”专题歌曲演奏等300余场社会主义核心价值观教育实践等活动走进社区、学校、乡村、企业，使核心价值观的影响像空气一样无所不在、无时不有，潜移默化地引导人民群众做社会主义核心价值观的坚定信仰者、积极传播者、模范实践者，让社会主义核心价值观入脑入心、润物无声。</w:t>
      </w:r>
    </w:p>
    <w:p>
      <w:pPr>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勤俭节约、孝老爱亲、诚信教育、公益行动、学雷锋志愿服务、文明旅游等形式多样的主题实践活动也在乳源蓬勃开展，与文明城市、文明村镇、文明单位、文明家庭、文明校园等群众性精神文明创建活动同频共振，精神文明建设结出丰硕成果。10年间，2人入选“中国好人榜”，共计139人次荣获各级身边好人、道德模范等荣誉称号；23所学校获评各级文明校园，84户家庭荣获各级文明家庭、最美家庭荣誉，43个镇、村获评各级文明镇村，47个单位获评各级文明单位，2个村获评全国文明村。</w:t>
      </w:r>
    </w:p>
    <w:p>
      <w:pPr>
        <w:ind w:firstLine="640" w:firstLineChars="200"/>
        <w:rPr>
          <w:rFonts w:hint="eastAsia" w:ascii="黑体" w:hAnsi="黑体" w:eastAsia="黑体" w:cs="黑体"/>
          <w:b w:val="0"/>
          <w:bCs w:val="0"/>
          <w:sz w:val="32"/>
          <w:szCs w:val="32"/>
          <w:lang w:val="en-US" w:eastAsia="zh-CN"/>
        </w:rPr>
      </w:pPr>
      <w:r>
        <w:rPr>
          <w:rFonts w:hint="eastAsia" w:ascii="仿宋_GB2312" w:hAnsi="仿宋_GB2312" w:eastAsia="仿宋_GB2312" w:cs="仿宋_GB2312"/>
          <w:b w:val="0"/>
          <w:bCs w:val="0"/>
          <w:kern w:val="2"/>
          <w:sz w:val="32"/>
          <w:szCs w:val="32"/>
          <w:lang w:val="en-US" w:eastAsia="zh-CN" w:bidi="ar-SA"/>
        </w:rPr>
        <w:t>乳源把道德模范、身边好人、文明小区、文明卫生商户等评选活动作为倡导道德新风、树立社会正气的有效平台，通过举办“道德模范和身边好人”先进事迹宣讲会，模范、好人发布仪式，文明村镇、单位、校园挂牌仪式，文明家庭证书颁发仪式，文明创建交流学习活动等，让精神文明建设持续发力，充分发挥先进典型的示范的引领作用。同时围绕志愿服务、诚信建设、移风易俗等多方面，发现、培育、宣传典型，形成示范带动，发挥选树一个典型、温暖一座城市的引领效应。2022年，评出乳源好人13人，唐亚水获评中国好人、广东好人，1人获评韶关好人。评选出县级“新时代好少年”15人，文明小区4个，文明卫生商户15户。</w:t>
      </w:r>
    </w:p>
    <w:p>
      <w:pPr>
        <w:keepNext w:val="0"/>
        <w:keepLines w:val="0"/>
        <w:pageBreakBefore w:val="0"/>
        <w:numPr>
          <w:ilvl w:val="0"/>
          <w:numId w:val="0"/>
        </w:numPr>
        <w:kinsoku/>
        <w:wordWrap/>
        <w:overflowPunct/>
        <w:topLinePunct w:val="0"/>
        <w:autoSpaceDE/>
        <w:autoSpaceDN/>
        <w:bidi w:val="0"/>
        <w:snapToGrid/>
        <w:spacing w:line="240" w:lineRule="auto"/>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四、存在的短板问题</w:t>
      </w:r>
    </w:p>
    <w:p>
      <w:pPr>
        <w:pStyle w:val="10"/>
        <w:keepNext w:val="0"/>
        <w:keepLines w:val="0"/>
        <w:pageBreakBefore w:val="0"/>
        <w:numPr>
          <w:ilvl w:val="0"/>
          <w:numId w:val="0"/>
        </w:numPr>
        <w:kinsoku/>
        <w:wordWrap/>
        <w:overflowPunct/>
        <w:topLinePunct w:val="0"/>
        <w:autoSpaceDE/>
        <w:autoSpaceDN/>
        <w:bidi w:val="0"/>
        <w:snapToGrid/>
        <w:spacing w:line="24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kern w:val="2"/>
          <w:sz w:val="32"/>
          <w:szCs w:val="32"/>
          <w:lang w:val="en-US" w:eastAsia="zh-CN" w:bidi="ar-SA"/>
        </w:rPr>
        <w:t>获得提名城市资格以来，</w:t>
      </w:r>
      <w:r>
        <w:rPr>
          <w:rFonts w:hint="eastAsia" w:ascii="仿宋_GB2312" w:hAnsi="仿宋_GB2312" w:eastAsia="仿宋_GB2312" w:cs="仿宋_GB2312"/>
          <w:color w:val="auto"/>
          <w:kern w:val="32"/>
          <w:sz w:val="32"/>
          <w:szCs w:val="32"/>
        </w:rPr>
        <w:t>我县的创文工作迈上了一个新台阶</w:t>
      </w:r>
      <w:r>
        <w:rPr>
          <w:rFonts w:hint="eastAsia" w:ascii="仿宋_GB2312" w:hAnsi="仿宋_GB2312" w:eastAsia="仿宋_GB2312" w:cs="仿宋_GB2312"/>
          <w:color w:val="auto"/>
          <w:kern w:val="32"/>
          <w:sz w:val="32"/>
          <w:szCs w:val="32"/>
          <w:lang w:eastAsia="zh-CN"/>
        </w:rPr>
        <w:t>，</w:t>
      </w:r>
      <w:r>
        <w:rPr>
          <w:rFonts w:hint="eastAsia" w:ascii="仿宋_GB2312" w:hAnsi="仿宋_GB2312" w:eastAsia="仿宋_GB2312" w:cs="仿宋_GB2312"/>
          <w:color w:val="auto"/>
          <w:sz w:val="32"/>
          <w:szCs w:val="32"/>
          <w:lang w:val="en-US" w:eastAsia="zh-CN"/>
        </w:rPr>
        <w:t>但</w:t>
      </w:r>
      <w:r>
        <w:rPr>
          <w:rFonts w:hint="eastAsia" w:ascii="仿宋_GB2312" w:hAnsi="仿宋_GB2312" w:eastAsia="仿宋_GB2312" w:cs="仿宋_GB2312"/>
          <w:color w:val="auto"/>
          <w:kern w:val="32"/>
          <w:sz w:val="32"/>
          <w:szCs w:val="32"/>
        </w:rPr>
        <w:t>与其他先进城市相比，与群众的期待相比，仍有</w:t>
      </w:r>
      <w:r>
        <w:rPr>
          <w:rFonts w:hint="eastAsia" w:ascii="仿宋_GB2312" w:hAnsi="仿宋_GB2312" w:eastAsia="仿宋_GB2312" w:cs="仿宋_GB2312"/>
          <w:color w:val="auto"/>
          <w:kern w:val="32"/>
          <w:sz w:val="32"/>
          <w:szCs w:val="32"/>
          <w:lang w:val="en-US" w:eastAsia="zh-CN"/>
        </w:rPr>
        <w:t>一定的</w:t>
      </w:r>
      <w:r>
        <w:rPr>
          <w:rFonts w:hint="eastAsia" w:ascii="仿宋_GB2312" w:hAnsi="仿宋_GB2312" w:eastAsia="仿宋_GB2312" w:cs="仿宋_GB2312"/>
          <w:color w:val="auto"/>
          <w:kern w:val="32"/>
          <w:sz w:val="32"/>
          <w:szCs w:val="32"/>
        </w:rPr>
        <w:t>差距</w:t>
      </w:r>
      <w:r>
        <w:rPr>
          <w:rFonts w:hint="eastAsia" w:ascii="仿宋_GB2312" w:hAnsi="仿宋_GB2312" w:eastAsia="仿宋_GB2312" w:cs="仿宋_GB2312"/>
          <w:color w:val="auto"/>
          <w:kern w:val="32"/>
          <w:sz w:val="32"/>
          <w:szCs w:val="32"/>
          <w:lang w:eastAsia="zh-CN"/>
        </w:rPr>
        <w:t>，</w:t>
      </w:r>
      <w:r>
        <w:rPr>
          <w:rFonts w:hint="eastAsia" w:ascii="仿宋_GB2312" w:hAnsi="仿宋_GB2312" w:eastAsia="仿宋_GB2312" w:cs="仿宋_GB2312"/>
          <w:color w:val="auto"/>
          <w:kern w:val="32"/>
          <w:sz w:val="32"/>
          <w:szCs w:val="32"/>
          <w:lang w:val="en-US" w:eastAsia="zh-CN"/>
        </w:rPr>
        <w:t>2021、2022年省测评成绩整体排名靠后，群众满意率偏低，主要存在以下短板问题亟需攻克。</w:t>
      </w:r>
    </w:p>
    <w:p>
      <w:pPr>
        <w:keepNext w:val="0"/>
        <w:keepLines w:val="0"/>
        <w:pageBreakBefore w:val="0"/>
        <w:numPr>
          <w:ilvl w:val="0"/>
          <w:numId w:val="0"/>
        </w:numPr>
        <w:kinsoku/>
        <w:wordWrap/>
        <w:overflowPunct/>
        <w:topLinePunct w:val="0"/>
        <w:autoSpaceDE/>
        <w:autoSpaceDN/>
        <w:bidi w:val="0"/>
        <w:snapToGrid/>
        <w:spacing w:line="240" w:lineRule="auto"/>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（一）基础设施问题</w:t>
      </w:r>
    </w:p>
    <w:p>
      <w:pPr>
        <w:pStyle w:val="2"/>
        <w:keepNext w:val="0"/>
        <w:keepLines w:val="0"/>
        <w:pageBreakBefore w:val="0"/>
        <w:widowControl w:val="0"/>
        <w:numPr>
          <w:ilvl w:val="0"/>
          <w:numId w:val="0"/>
        </w:numPr>
        <w:kinsoku/>
        <w:wordWrap/>
        <w:overflowPunct/>
        <w:topLinePunct w:val="0"/>
        <w:autoSpaceDE/>
        <w:autoSpaceDN/>
        <w:bidi w:val="0"/>
        <w:snapToGrid/>
        <w:spacing w:line="240" w:lineRule="auto"/>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由于</w:t>
      </w:r>
      <w:r>
        <w:rPr>
          <w:rFonts w:hint="eastAsia" w:ascii="仿宋_GB2312" w:hAnsi="仿宋_GB2312" w:eastAsia="仿宋_GB2312" w:cs="仿宋_GB2312"/>
          <w:color w:val="auto"/>
          <w:sz w:val="32"/>
          <w:szCs w:val="32"/>
          <w:lang w:val="en-US" w:eastAsia="zh-CN"/>
        </w:rPr>
        <w:t>县城</w:t>
      </w:r>
      <w:r>
        <w:rPr>
          <w:rFonts w:hint="eastAsia" w:ascii="仿宋_GB2312" w:hAnsi="仿宋_GB2312" w:eastAsia="仿宋_GB2312" w:cs="仿宋_GB2312"/>
          <w:color w:val="auto"/>
          <w:sz w:val="32"/>
          <w:szCs w:val="32"/>
        </w:rPr>
        <w:t>基础设施建设滞后</w:t>
      </w:r>
      <w:r>
        <w:rPr>
          <w:rFonts w:hint="eastAsia" w:ascii="仿宋_GB2312" w:hAnsi="仿宋_GB2312" w:eastAsia="仿宋_GB2312" w:cs="仿宋_GB2312"/>
          <w:color w:val="auto"/>
          <w:sz w:val="32"/>
          <w:szCs w:val="32"/>
          <w:lang w:eastAsia="zh-CN"/>
        </w:rPr>
        <w:t>，基础设施和公共服务设施建设历史欠账多，普遍存在设施能力不足、建设标准不高、发展理念落后、运营管理粗放等问题，</w:t>
      </w:r>
      <w:r>
        <w:rPr>
          <w:rFonts w:hint="eastAsia" w:ascii="仿宋_GB2312" w:hAnsi="仿宋_GB2312" w:eastAsia="仿宋_GB2312" w:cs="仿宋_GB2312"/>
          <w:color w:val="auto"/>
          <w:sz w:val="32"/>
          <w:szCs w:val="32"/>
          <w:lang w:val="en-US" w:eastAsia="zh-CN"/>
        </w:rPr>
        <w:t>主要表现在：</w:t>
      </w: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i w:val="0"/>
          <w:iCs w:val="0"/>
          <w:caps w:val="0"/>
          <w:color w:val="121212"/>
          <w:spacing w:val="0"/>
          <w:sz w:val="32"/>
          <w:szCs w:val="32"/>
          <w:shd w:val="clear" w:color="auto" w:fill="FFFFFF"/>
        </w:rPr>
        <w:t>老旧小区</w:t>
      </w:r>
      <w:r>
        <w:rPr>
          <w:rFonts w:hint="eastAsia" w:ascii="仿宋_GB2312" w:hAnsi="仿宋_GB2312" w:eastAsia="仿宋_GB2312" w:cs="仿宋_GB2312"/>
          <w:i w:val="0"/>
          <w:iCs w:val="0"/>
          <w:caps w:val="0"/>
          <w:color w:val="121212"/>
          <w:spacing w:val="0"/>
          <w:sz w:val="32"/>
          <w:szCs w:val="32"/>
          <w:shd w:val="clear" w:color="auto" w:fill="FFFFFF"/>
          <w:lang w:val="en-US" w:eastAsia="zh-CN"/>
        </w:rPr>
        <w:t>的基础文化设施、无障碍设施不齐全，</w:t>
      </w:r>
      <w:r>
        <w:rPr>
          <w:rFonts w:hint="eastAsia" w:ascii="仿宋_GB2312" w:hAnsi="仿宋_GB2312" w:eastAsia="仿宋_GB2312" w:cs="仿宋_GB2312"/>
          <w:sz w:val="32"/>
          <w:szCs w:val="32"/>
        </w:rPr>
        <w:t>“四防”</w:t>
      </w:r>
      <w:r>
        <w:rPr>
          <w:rFonts w:hint="eastAsia" w:ascii="仿宋_GB2312" w:hAnsi="仿宋_GB2312" w:eastAsia="仿宋_GB2312" w:cs="仿宋_GB2312"/>
          <w:sz w:val="32"/>
          <w:szCs w:val="32"/>
          <w:lang w:eastAsia="zh-CN"/>
        </w:rPr>
        <w:t>（人防、物防、技防、消防）</w:t>
      </w:r>
      <w:r>
        <w:rPr>
          <w:rFonts w:hint="eastAsia" w:ascii="仿宋_GB2312" w:hAnsi="仿宋_GB2312" w:eastAsia="仿宋_GB2312" w:cs="仿宋_GB2312"/>
          <w:sz w:val="32"/>
          <w:szCs w:val="32"/>
        </w:rPr>
        <w:t>不齐备</w:t>
      </w:r>
      <w:r>
        <w:rPr>
          <w:rFonts w:hint="eastAsia" w:ascii="仿宋_GB2312" w:hAnsi="仿宋_GB2312" w:eastAsia="仿宋_GB2312" w:cs="仿宋_GB2312"/>
          <w:i w:val="0"/>
          <w:iCs w:val="0"/>
          <w:caps w:val="0"/>
          <w:color w:val="121212"/>
          <w:spacing w:val="0"/>
          <w:sz w:val="32"/>
          <w:szCs w:val="32"/>
          <w:shd w:val="clear" w:color="auto" w:fill="FFFFFF"/>
          <w:lang w:val="en-US" w:eastAsia="zh-CN"/>
        </w:rPr>
        <w:t>；</w:t>
      </w:r>
      <w:r>
        <w:rPr>
          <w:rFonts w:hint="eastAsia" w:ascii="仿宋_GB2312" w:hAnsi="仿宋_GB2312" w:eastAsia="仿宋_GB2312" w:cs="仿宋_GB2312"/>
          <w:b/>
          <w:bCs/>
          <w:i w:val="0"/>
          <w:iCs w:val="0"/>
          <w:caps w:val="0"/>
          <w:color w:val="121212"/>
          <w:spacing w:val="0"/>
          <w:sz w:val="32"/>
          <w:szCs w:val="32"/>
          <w:shd w:val="clear" w:color="auto" w:fill="FFFFFF"/>
          <w:lang w:val="en-US" w:eastAsia="zh-CN"/>
        </w:rPr>
        <w:t>二是</w:t>
      </w:r>
      <w:r>
        <w:rPr>
          <w:rFonts w:hint="eastAsia" w:ascii="仿宋_GB2312" w:hAnsi="仿宋_GB2312" w:eastAsia="仿宋_GB2312" w:cs="仿宋_GB2312"/>
          <w:i w:val="0"/>
          <w:iCs w:val="0"/>
          <w:caps w:val="0"/>
          <w:color w:val="121212"/>
          <w:spacing w:val="0"/>
          <w:sz w:val="32"/>
          <w:szCs w:val="32"/>
          <w:shd w:val="clear" w:color="auto" w:fill="FFFFFF"/>
          <w:lang w:val="en-US" w:eastAsia="zh-CN"/>
        </w:rPr>
        <w:t>背街小巷、城中村的道路设施、照明设施不完善；</w:t>
      </w:r>
      <w:r>
        <w:rPr>
          <w:rFonts w:hint="eastAsia" w:ascii="仿宋_GB2312" w:hAnsi="仿宋_GB2312" w:eastAsia="仿宋_GB2312" w:cs="仿宋_GB2312"/>
          <w:b/>
          <w:bCs/>
          <w:i w:val="0"/>
          <w:iCs w:val="0"/>
          <w:caps w:val="0"/>
          <w:color w:val="121212"/>
          <w:spacing w:val="0"/>
          <w:sz w:val="32"/>
          <w:szCs w:val="32"/>
          <w:shd w:val="clear" w:color="auto" w:fill="FFFFFF"/>
          <w:lang w:val="en-US" w:eastAsia="zh-CN"/>
        </w:rPr>
        <w:t>三是</w:t>
      </w:r>
      <w:r>
        <w:rPr>
          <w:rFonts w:hint="eastAsia" w:ascii="仿宋_GB2312" w:hAnsi="仿宋_GB2312" w:eastAsia="仿宋_GB2312" w:cs="仿宋_GB2312"/>
          <w:i w:val="0"/>
          <w:iCs w:val="0"/>
          <w:caps w:val="0"/>
          <w:color w:val="121212"/>
          <w:spacing w:val="0"/>
          <w:sz w:val="32"/>
          <w:szCs w:val="32"/>
          <w:shd w:val="clear" w:color="auto" w:fill="FFFFFF"/>
          <w:lang w:val="en-US" w:eastAsia="zh-CN"/>
        </w:rPr>
        <w:t>农贸市场的硬件设施老旧，</w:t>
      </w:r>
      <w:r>
        <w:rPr>
          <w:rFonts w:hint="eastAsia" w:ascii="仿宋_GB2312" w:hAnsi="仿宋_GB2312" w:eastAsia="仿宋_GB2312" w:cs="仿宋_GB2312"/>
          <w:color w:val="auto"/>
          <w:sz w:val="32"/>
          <w:szCs w:val="32"/>
          <w:shd w:val="clear" w:color="auto" w:fill="auto"/>
          <w:lang w:val="en-US" w:eastAsia="zh-CN"/>
        </w:rPr>
        <w:t>给排水、供电、通风采光、消防设施及公共卫生间</w:t>
      </w:r>
      <w:r>
        <w:rPr>
          <w:rFonts w:hint="eastAsia" w:ascii="仿宋_GB2312" w:hAnsi="仿宋_GB2312" w:eastAsia="仿宋_GB2312" w:cs="仿宋_GB2312"/>
          <w:b w:val="0"/>
          <w:bCs w:val="0"/>
          <w:color w:val="auto"/>
          <w:sz w:val="32"/>
          <w:szCs w:val="32"/>
          <w:lang w:val="en-US" w:eastAsia="zh-CN"/>
        </w:rPr>
        <w:t>等不达标；</w:t>
      </w:r>
      <w:r>
        <w:rPr>
          <w:rFonts w:hint="eastAsia" w:ascii="仿宋_GB2312" w:hAnsi="仿宋_GB2312" w:eastAsia="仿宋_GB2312" w:cs="仿宋_GB2312"/>
          <w:b/>
          <w:bCs/>
          <w:color w:val="auto"/>
          <w:sz w:val="32"/>
          <w:szCs w:val="32"/>
          <w:lang w:val="en-US" w:eastAsia="zh-CN"/>
        </w:rPr>
        <w:t>四是</w:t>
      </w:r>
      <w:r>
        <w:rPr>
          <w:rFonts w:hint="eastAsia" w:ascii="仿宋_GB2312" w:hAnsi="仿宋_GB2312" w:eastAsia="仿宋_GB2312" w:cs="仿宋_GB2312"/>
          <w:b w:val="0"/>
          <w:bCs w:val="0"/>
          <w:color w:val="auto"/>
          <w:sz w:val="32"/>
          <w:szCs w:val="32"/>
          <w:lang w:val="en-US" w:eastAsia="zh-CN"/>
        </w:rPr>
        <w:t>城市生活垃圾、生活污水处理设施不健全；</w:t>
      </w:r>
      <w:r>
        <w:rPr>
          <w:rFonts w:hint="eastAsia" w:ascii="仿宋_GB2312" w:hAnsi="仿宋_GB2312" w:eastAsia="仿宋_GB2312" w:cs="仿宋_GB2312"/>
          <w:b/>
          <w:bCs/>
          <w:color w:val="auto"/>
          <w:sz w:val="32"/>
          <w:szCs w:val="32"/>
          <w:lang w:val="en-US" w:eastAsia="zh-CN"/>
        </w:rPr>
        <w:t>五是</w:t>
      </w:r>
      <w:r>
        <w:rPr>
          <w:rFonts w:hint="eastAsia" w:ascii="仿宋_GB2312" w:hAnsi="仿宋_GB2312" w:eastAsia="仿宋_GB2312" w:cs="仿宋_GB2312"/>
          <w:b w:val="0"/>
          <w:bCs w:val="0"/>
          <w:color w:val="auto"/>
          <w:sz w:val="32"/>
          <w:szCs w:val="32"/>
          <w:lang w:val="en-US" w:eastAsia="zh-CN"/>
        </w:rPr>
        <w:t>城市停车设施规划不够</w:t>
      </w:r>
      <w:r>
        <w:rPr>
          <w:rFonts w:hint="eastAsia" w:ascii="仿宋_GB2312" w:hAnsi="仿宋_GB2312" w:eastAsia="仿宋_GB2312" w:cs="仿宋_GB2312"/>
          <w:i w:val="0"/>
          <w:iCs w:val="0"/>
          <w:caps w:val="0"/>
          <w:color w:val="222222"/>
          <w:spacing w:val="8"/>
          <w:sz w:val="32"/>
          <w:szCs w:val="32"/>
          <w:shd w:val="clear" w:color="auto" w:fill="FFFFFF"/>
        </w:rPr>
        <w:t>智能高效</w:t>
      </w:r>
      <w:r>
        <w:rPr>
          <w:rFonts w:hint="eastAsia" w:ascii="仿宋_GB2312" w:hAnsi="仿宋_GB2312" w:eastAsia="仿宋_GB2312" w:cs="仿宋_GB2312"/>
          <w:b w:val="0"/>
          <w:bCs w:val="0"/>
          <w:color w:val="auto"/>
          <w:sz w:val="32"/>
          <w:szCs w:val="32"/>
          <w:lang w:val="en-US" w:eastAsia="zh-CN"/>
        </w:rPr>
        <w:t>，导致车位缺乏，乱停放严重；</w:t>
      </w:r>
      <w:r>
        <w:rPr>
          <w:rFonts w:hint="eastAsia" w:ascii="仿宋_GB2312" w:hAnsi="仿宋_GB2312" w:eastAsia="仿宋_GB2312" w:cs="仿宋_GB2312"/>
          <w:b/>
          <w:bCs/>
          <w:color w:val="auto"/>
          <w:sz w:val="32"/>
          <w:szCs w:val="32"/>
          <w:lang w:val="en-US" w:eastAsia="zh-CN"/>
        </w:rPr>
        <w:t>六是</w:t>
      </w:r>
      <w:r>
        <w:rPr>
          <w:rFonts w:hint="eastAsia" w:ascii="仿宋_GB2312" w:hAnsi="仿宋_GB2312" w:eastAsia="仿宋_GB2312" w:cs="仿宋_GB2312"/>
          <w:b w:val="0"/>
          <w:bCs w:val="0"/>
          <w:color w:val="auto"/>
          <w:sz w:val="32"/>
          <w:szCs w:val="32"/>
          <w:lang w:val="en-US" w:eastAsia="zh-CN"/>
        </w:rPr>
        <w:t>城市道路交通设施不完善，城区主干道狭窄，未能实现“机非分离”，严重影响城市交通秩序</w:t>
      </w:r>
      <w:r>
        <w:rPr>
          <w:rFonts w:hint="eastAsia" w:ascii="仿宋_GB2312" w:hAnsi="仿宋_GB2312" w:eastAsia="仿宋_GB2312" w:cs="仿宋_GB2312"/>
          <w:sz w:val="32"/>
          <w:szCs w:val="32"/>
          <w:lang w:val="en-US" w:eastAsia="zh-CN"/>
        </w:rPr>
        <w:t>。补齐基础设施短板需要大量资金支持，难以一蹴而就。</w:t>
      </w:r>
    </w:p>
    <w:p>
      <w:pPr>
        <w:keepNext w:val="0"/>
        <w:keepLines w:val="0"/>
        <w:pageBreakBefore w:val="0"/>
        <w:numPr>
          <w:ilvl w:val="0"/>
          <w:numId w:val="0"/>
        </w:numPr>
        <w:kinsoku/>
        <w:wordWrap/>
        <w:overflowPunct/>
        <w:topLinePunct w:val="0"/>
        <w:autoSpaceDE/>
        <w:autoSpaceDN/>
        <w:bidi w:val="0"/>
        <w:snapToGrid/>
        <w:spacing w:line="240" w:lineRule="auto"/>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（二）城市管理问题</w:t>
      </w:r>
    </w:p>
    <w:p>
      <w:pPr>
        <w:keepNext w:val="0"/>
        <w:keepLines w:val="0"/>
        <w:pageBreakBefore w:val="0"/>
        <w:numPr>
          <w:ilvl w:val="0"/>
          <w:numId w:val="0"/>
        </w:numPr>
        <w:kinsoku/>
        <w:wordWrap/>
        <w:overflowPunct/>
        <w:topLinePunct w:val="0"/>
        <w:autoSpaceDE/>
        <w:autoSpaceDN/>
        <w:bidi w:val="0"/>
        <w:snapToGrid/>
        <w:spacing w:line="24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由于县城管理体制不够顺畅，管理综合效能不高，市民城市意识不强等原因，导致城市管理重点、难点问题常抓常反复，整改不彻底，主要表现在：</w:t>
      </w: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b w:val="0"/>
          <w:bCs w:val="0"/>
          <w:color w:val="auto"/>
          <w:sz w:val="32"/>
          <w:szCs w:val="32"/>
          <w:lang w:val="en-US" w:eastAsia="zh-CN"/>
        </w:rPr>
        <w:t>网格与职能部门没有形成强大工作合力，</w:t>
      </w:r>
      <w:r>
        <w:rPr>
          <w:rFonts w:hint="eastAsia" w:ascii="仿宋_GB2312" w:hAnsi="仿宋_GB2312" w:eastAsia="仿宋_GB2312" w:cs="仿宋_GB2312"/>
          <w:kern w:val="0"/>
          <w:sz w:val="32"/>
          <w:szCs w:val="32"/>
          <w:lang w:val="en-US" w:eastAsia="zh-CN" w:bidi="ar-SA"/>
        </w:rPr>
        <w:t>发现问题未能有效交接，缺乏密切配合，问题处置效率低；</w:t>
      </w:r>
      <w:r>
        <w:rPr>
          <w:rFonts w:hint="eastAsia" w:ascii="仿宋_GB2312" w:hAnsi="仿宋_GB2312" w:eastAsia="仿宋_GB2312" w:cs="仿宋_GB2312"/>
          <w:b/>
          <w:bCs/>
          <w:kern w:val="0"/>
          <w:sz w:val="32"/>
          <w:szCs w:val="32"/>
          <w:lang w:val="en-US" w:eastAsia="zh-CN" w:bidi="ar-SA"/>
        </w:rPr>
        <w:t>二是</w:t>
      </w:r>
      <w:r>
        <w:rPr>
          <w:rFonts w:hint="eastAsia" w:ascii="仿宋_GB2312" w:hAnsi="仿宋_GB2312" w:eastAsia="仿宋_GB2312" w:cs="仿宋_GB2312"/>
          <w:kern w:val="0"/>
          <w:sz w:val="32"/>
          <w:szCs w:val="32"/>
          <w:lang w:val="en-US" w:eastAsia="zh-CN" w:bidi="ar-SA"/>
        </w:rPr>
        <w:t>城市管理未形成常态长效，执法部门存在“突击迎检”的心态、工作欠扎实深入，停留在就问题改问题，就现象改现象，就点位改点位的片面做法，对</w:t>
      </w:r>
      <w:r>
        <w:rPr>
          <w:rFonts w:hint="eastAsia" w:ascii="仿宋_GB2312" w:hAnsi="仿宋_GB2312" w:eastAsia="仿宋_GB2312" w:cs="仿宋_GB2312"/>
          <w:color w:val="auto"/>
          <w:sz w:val="32"/>
          <w:szCs w:val="32"/>
          <w:lang w:eastAsia="zh-CN"/>
        </w:rPr>
        <w:t>交通秩序、</w:t>
      </w:r>
      <w:r>
        <w:rPr>
          <w:rFonts w:hint="eastAsia" w:ascii="仿宋_GB2312" w:hAnsi="仿宋_GB2312" w:eastAsia="仿宋_GB2312" w:cs="仿宋_GB2312"/>
          <w:color w:val="auto"/>
          <w:sz w:val="32"/>
          <w:szCs w:val="32"/>
          <w:lang w:val="en-US" w:eastAsia="zh-CN"/>
        </w:rPr>
        <w:t>环境卫生</w:t>
      </w:r>
      <w:r>
        <w:rPr>
          <w:rFonts w:hint="eastAsia" w:ascii="仿宋_GB2312" w:hAnsi="仿宋_GB2312" w:eastAsia="仿宋_GB2312" w:cs="仿宋_GB2312"/>
          <w:color w:val="auto"/>
          <w:sz w:val="32"/>
          <w:szCs w:val="32"/>
        </w:rPr>
        <w:t>、占道经营、车辆乱停放</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不文明养犬、城市“飞线”</w:t>
      </w:r>
      <w:r>
        <w:rPr>
          <w:rFonts w:hint="eastAsia"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lang w:val="en-US" w:eastAsia="zh-CN"/>
        </w:rPr>
        <w:t>问题整治力度不够大，没有形成常态化执法；</w:t>
      </w:r>
      <w:r>
        <w:rPr>
          <w:rFonts w:hint="eastAsia" w:ascii="仿宋_GB2312" w:hAnsi="仿宋_GB2312" w:eastAsia="仿宋_GB2312" w:cs="仿宋_GB2312"/>
          <w:b/>
          <w:bCs/>
          <w:color w:val="auto"/>
          <w:sz w:val="32"/>
          <w:szCs w:val="32"/>
          <w:lang w:val="en-US" w:eastAsia="zh-CN"/>
        </w:rPr>
        <w:t>三是</w:t>
      </w:r>
      <w:r>
        <w:rPr>
          <w:rFonts w:hint="eastAsia" w:ascii="仿宋_GB2312" w:hAnsi="仿宋_GB2312" w:eastAsia="仿宋_GB2312" w:cs="仿宋_GB2312"/>
          <w:color w:val="auto"/>
          <w:sz w:val="32"/>
          <w:szCs w:val="32"/>
          <w:lang w:val="en-US" w:eastAsia="zh-CN"/>
        </w:rPr>
        <w:t>社区民主自治功能薄弱，社区服务不够优化，市民对社区认同感不足，参与社区建设的积极性不高，仍有乱扔垃圾、闯红灯、不戴头盔、不牵绳遛狗等不文明现象存在，“人民城市人民建”“共建共享”的理念有待加强。</w:t>
      </w:r>
      <w:r>
        <w:rPr>
          <w:rFonts w:hint="eastAsia" w:ascii="仿宋_GB2312" w:hAnsi="仿宋_GB2312" w:eastAsia="仿宋_GB2312" w:cs="仿宋_GB2312"/>
          <w:b/>
          <w:bCs/>
          <w:color w:val="auto"/>
          <w:sz w:val="32"/>
          <w:szCs w:val="32"/>
          <w:lang w:val="en-US" w:eastAsia="zh-CN"/>
        </w:rPr>
        <w:t>四是</w:t>
      </w:r>
      <w:r>
        <w:rPr>
          <w:rFonts w:hint="eastAsia" w:ascii="仿宋_GB2312" w:hAnsi="仿宋_GB2312" w:eastAsia="仿宋_GB2312" w:cs="仿宋_GB2312"/>
          <w:color w:val="auto"/>
          <w:sz w:val="32"/>
          <w:szCs w:val="32"/>
          <w:lang w:val="en-US" w:eastAsia="zh-CN"/>
        </w:rPr>
        <w:t>城市管理队伍编制不足，临聘人员待遇偏低、队伍不稳定，且因经费不足导致县城范围内保洁未实现全域化，保洁服务未能延伸至背街小巷、老旧小区，市政维护经费大幅缩减，公共设施维修进度缓慢等。</w:t>
      </w:r>
    </w:p>
    <w:p>
      <w:pPr>
        <w:keepNext w:val="0"/>
        <w:keepLines w:val="0"/>
        <w:pageBreakBefore w:val="0"/>
        <w:numPr>
          <w:ilvl w:val="0"/>
          <w:numId w:val="0"/>
        </w:numPr>
        <w:kinsoku/>
        <w:wordWrap/>
        <w:overflowPunct/>
        <w:topLinePunct w:val="0"/>
        <w:autoSpaceDE/>
        <w:autoSpaceDN/>
        <w:bidi w:val="0"/>
        <w:snapToGrid/>
        <w:spacing w:line="240" w:lineRule="auto"/>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（三）创建队伍问题</w:t>
      </w:r>
    </w:p>
    <w:p>
      <w:pPr>
        <w:pStyle w:val="2"/>
        <w:keepNext w:val="0"/>
        <w:keepLines w:val="0"/>
        <w:pageBreakBefore w:val="0"/>
        <w:kinsoku/>
        <w:wordWrap/>
        <w:overflowPunct/>
        <w:topLinePunct w:val="0"/>
        <w:autoSpaceDE/>
        <w:autoSpaceDN/>
        <w:bidi w:val="0"/>
        <w:snapToGrid/>
        <w:spacing w:line="240" w:lineRule="auto"/>
        <w:ind w:firstLine="640" w:firstLineChars="20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 w:val="0"/>
          <w:bCs/>
          <w:sz w:val="32"/>
          <w:szCs w:val="32"/>
          <w:lang w:val="en-US" w:eastAsia="zh-CN"/>
        </w:rPr>
        <w:t>由于政策、编制等因素限制，县级文明城市创建队伍存在人员单薄、不稳定、专业性不强等问题，主要表现在：</w:t>
      </w:r>
      <w:r>
        <w:rPr>
          <w:rFonts w:hint="eastAsia" w:ascii="仿宋_GB2312" w:hAnsi="仿宋_GB2312" w:eastAsia="仿宋_GB2312" w:cs="仿宋_GB2312"/>
          <w:b/>
          <w:bCs w:val="0"/>
          <w:sz w:val="32"/>
          <w:szCs w:val="32"/>
          <w:lang w:val="en-US" w:eastAsia="zh-CN"/>
        </w:rPr>
        <w:t>一是</w:t>
      </w:r>
      <w:r>
        <w:rPr>
          <w:rFonts w:hint="eastAsia" w:ascii="仿宋_GB2312" w:hAnsi="仿宋_GB2312" w:eastAsia="仿宋_GB2312" w:cs="仿宋_GB2312"/>
          <w:b w:val="0"/>
          <w:bCs/>
          <w:sz w:val="32"/>
          <w:szCs w:val="32"/>
        </w:rPr>
        <w:t>县文明办</w:t>
      </w:r>
      <w:r>
        <w:rPr>
          <w:rFonts w:hint="eastAsia" w:ascii="仿宋_GB2312" w:hAnsi="仿宋_GB2312" w:eastAsia="仿宋_GB2312" w:cs="仿宋_GB2312"/>
          <w:b w:val="0"/>
          <w:bCs/>
          <w:sz w:val="32"/>
          <w:szCs w:val="32"/>
          <w:lang w:val="en-US" w:eastAsia="zh-CN"/>
        </w:rPr>
        <w:t>是设在县委宣传部的挂牌机构，文明办</w:t>
      </w:r>
      <w:r>
        <w:rPr>
          <w:rFonts w:hint="eastAsia" w:ascii="仿宋_GB2312" w:hAnsi="仿宋_GB2312" w:eastAsia="仿宋_GB2312" w:cs="仿宋_GB2312"/>
          <w:b w:val="0"/>
          <w:bCs/>
          <w:sz w:val="32"/>
          <w:szCs w:val="32"/>
        </w:rPr>
        <w:t>主任由县委宣传部副部长</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副科级</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兼任</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color w:val="auto"/>
          <w:sz w:val="32"/>
          <w:szCs w:val="32"/>
          <w:lang w:val="en-US" w:eastAsia="zh-CN"/>
        </w:rPr>
        <w:t>2022年网报材料关于文明办机构设置的说明报告因为文明办主任非正科级而导致失分（省里通报未发，这是内部了解到的，供书记了解）；</w:t>
      </w:r>
      <w:r>
        <w:rPr>
          <w:rFonts w:hint="eastAsia" w:ascii="仿宋_GB2312" w:hAnsi="仿宋_GB2312" w:eastAsia="仿宋_GB2312" w:cs="仿宋_GB2312"/>
          <w:b/>
          <w:bCs w:val="0"/>
          <w:sz w:val="32"/>
          <w:szCs w:val="32"/>
          <w:lang w:val="en-US" w:eastAsia="zh-CN"/>
        </w:rPr>
        <w:t>二是</w:t>
      </w:r>
      <w:r>
        <w:rPr>
          <w:rFonts w:hint="eastAsia" w:ascii="仿宋_GB2312" w:hAnsi="仿宋_GB2312" w:eastAsia="仿宋_GB2312" w:cs="仿宋_GB2312"/>
          <w:bCs/>
          <w:sz w:val="32"/>
          <w:szCs w:val="32"/>
        </w:rPr>
        <w:t>文明办</w:t>
      </w:r>
      <w:r>
        <w:rPr>
          <w:rFonts w:hint="eastAsia" w:ascii="仿宋_GB2312" w:hAnsi="仿宋_GB2312" w:eastAsia="仿宋_GB2312" w:cs="仿宋_GB2312"/>
          <w:bCs/>
          <w:sz w:val="32"/>
          <w:szCs w:val="32"/>
          <w:lang w:val="en-US" w:eastAsia="zh-CN"/>
        </w:rPr>
        <w:t>只有行政编制1名（股级），文明城市创建日常工作由从各镇和重点职能部门中选派的16名挂职人员负责，流动性强，缺乏创建经验和技能，创建力量偏弱。</w:t>
      </w:r>
    </w:p>
    <w:p>
      <w:pPr>
        <w:keepNext w:val="0"/>
        <w:keepLines w:val="0"/>
        <w:pageBreakBefore w:val="0"/>
        <w:numPr>
          <w:ilvl w:val="0"/>
          <w:numId w:val="0"/>
        </w:numPr>
        <w:kinsoku/>
        <w:wordWrap/>
        <w:overflowPunct/>
        <w:topLinePunct w:val="0"/>
        <w:autoSpaceDE/>
        <w:autoSpaceDN/>
        <w:bidi w:val="0"/>
        <w:snapToGrid/>
        <w:spacing w:line="240" w:lineRule="auto"/>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（四）创建经费问题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eastAsia="zh-CN"/>
        </w:rPr>
        <w:t>乳源</w:t>
      </w:r>
      <w:r>
        <w:rPr>
          <w:rFonts w:hint="eastAsia" w:ascii="仿宋_GB2312" w:hAnsi="仿宋_GB2312" w:eastAsia="仿宋_GB2312" w:cs="仿宋_GB2312"/>
          <w:color w:val="auto"/>
          <w:sz w:val="32"/>
          <w:szCs w:val="32"/>
        </w:rPr>
        <w:t>是欠发达少数民族地区，城乡基础设施建设滞后，</w:t>
      </w:r>
      <w:r>
        <w:rPr>
          <w:rFonts w:hint="eastAsia" w:ascii="仿宋_GB2312" w:hAnsi="仿宋_GB2312" w:eastAsia="仿宋_GB2312" w:cs="仿宋_GB2312"/>
          <w:color w:val="auto"/>
          <w:sz w:val="32"/>
          <w:szCs w:val="32"/>
          <w:lang w:val="en-US" w:eastAsia="zh-CN"/>
        </w:rPr>
        <w:t>城乡居民文明意识落后，文明创建工作在基础设施建设、城市管理、宣传教育</w:t>
      </w:r>
      <w:r>
        <w:rPr>
          <w:rFonts w:hint="eastAsia"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lang w:val="en-US" w:eastAsia="zh-CN"/>
        </w:rPr>
        <w:t>方面资金</w:t>
      </w:r>
      <w:r>
        <w:rPr>
          <w:rFonts w:hint="eastAsia" w:ascii="仿宋_GB2312" w:hAnsi="仿宋_GB2312" w:eastAsia="仿宋_GB2312" w:cs="仿宋_GB2312"/>
          <w:color w:val="auto"/>
          <w:sz w:val="32"/>
          <w:szCs w:val="32"/>
        </w:rPr>
        <w:t>需求大，但县财力十分有限，</w:t>
      </w:r>
      <w:r>
        <w:rPr>
          <w:rFonts w:hint="eastAsia" w:ascii="仿宋_GB2312" w:hAnsi="仿宋_GB2312" w:eastAsia="仿宋_GB2312" w:cs="仿宋_GB2312"/>
          <w:color w:val="auto"/>
          <w:sz w:val="32"/>
          <w:szCs w:val="32"/>
          <w:lang w:val="en-US" w:eastAsia="zh-CN"/>
        </w:rPr>
        <w:t>每年用于文明城市创建的资金仅500万，</w:t>
      </w:r>
      <w:r>
        <w:rPr>
          <w:rFonts w:hint="eastAsia" w:ascii="仿宋_GB2312" w:hAnsi="仿宋_GB2312" w:eastAsia="仿宋_GB2312" w:cs="仿宋_GB2312"/>
          <w:color w:val="auto"/>
          <w:sz w:val="32"/>
          <w:szCs w:val="32"/>
        </w:rPr>
        <w:t>难以</w:t>
      </w:r>
      <w:r>
        <w:rPr>
          <w:rFonts w:hint="eastAsia" w:ascii="仿宋_GB2312" w:hAnsi="仿宋_GB2312" w:eastAsia="仿宋_GB2312" w:cs="仿宋_GB2312"/>
          <w:color w:val="auto"/>
          <w:sz w:val="32"/>
          <w:szCs w:val="32"/>
          <w:lang w:val="en-US" w:eastAsia="zh-CN"/>
        </w:rPr>
        <w:t>满足文明创建</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需要</w:t>
      </w:r>
      <w:r>
        <w:rPr>
          <w:rFonts w:hint="eastAsia" w:ascii="仿宋_GB2312" w:hAnsi="仿宋_GB2312" w:eastAsia="仿宋_GB2312" w:cs="仿宋_GB2312"/>
          <w:color w:val="auto"/>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、下步</w:t>
      </w:r>
      <w:r>
        <w:rPr>
          <w:rFonts w:hint="eastAsia" w:ascii="黑体" w:hAnsi="黑体" w:eastAsia="黑体" w:cs="黑体"/>
          <w:sz w:val="32"/>
          <w:szCs w:val="32"/>
        </w:rPr>
        <w:t>工作</w:t>
      </w:r>
      <w:r>
        <w:rPr>
          <w:rFonts w:hint="eastAsia" w:ascii="黑体" w:hAnsi="黑体" w:eastAsia="黑体" w:cs="黑体"/>
          <w:sz w:val="32"/>
          <w:szCs w:val="32"/>
          <w:lang w:eastAsia="zh-CN"/>
        </w:rPr>
        <w:t>思路</w:t>
      </w:r>
    </w:p>
    <w:p>
      <w:pPr>
        <w:pStyle w:val="2"/>
        <w:keepNext w:val="0"/>
        <w:keepLines w:val="0"/>
        <w:pageBreakBefore w:val="0"/>
        <w:widowControl w:val="0"/>
        <w:numPr>
          <w:ilvl w:val="0"/>
          <w:numId w:val="0"/>
        </w:numPr>
        <w:kinsoku/>
        <w:wordWrap/>
        <w:overflowPunct/>
        <w:topLinePunct w:val="0"/>
        <w:autoSpaceDE/>
        <w:autoSpaceDN/>
        <w:bidi w:val="0"/>
        <w:snapToGrid/>
        <w:spacing w:line="240" w:lineRule="auto"/>
        <w:ind w:left="0" w:firstLine="640" w:firstLineChars="200"/>
        <w:jc w:val="both"/>
        <w:rPr>
          <w:rFonts w:hint="eastAsia" w:ascii="楷体_GB2312" w:hAnsi="楷体_GB2312" w:eastAsia="楷体_GB2312" w:cs="楷体_GB2312"/>
          <w:b w:val="0"/>
          <w:bCs w:val="0"/>
          <w:color w:val="auto"/>
          <w:sz w:val="32"/>
          <w:szCs w:val="32"/>
          <w:lang w:eastAsia="zh-CN"/>
        </w:rPr>
      </w:pPr>
      <w:r>
        <w:rPr>
          <w:rFonts w:hint="eastAsia" w:ascii="楷体_GB2312" w:hAnsi="楷体_GB2312" w:eastAsia="楷体_GB2312" w:cs="楷体_GB2312"/>
          <w:b w:val="0"/>
          <w:bCs w:val="0"/>
          <w:color w:val="auto"/>
          <w:sz w:val="32"/>
          <w:szCs w:val="32"/>
          <w:lang w:eastAsia="zh-CN"/>
        </w:rPr>
        <w:t>（</w:t>
      </w:r>
      <w:r>
        <w:rPr>
          <w:rFonts w:hint="eastAsia" w:ascii="楷体_GB2312" w:hAnsi="楷体_GB2312" w:eastAsia="楷体_GB2312" w:cs="楷体_GB2312"/>
          <w:b w:val="0"/>
          <w:bCs w:val="0"/>
          <w:color w:val="auto"/>
          <w:sz w:val="32"/>
          <w:szCs w:val="32"/>
          <w:lang w:val="en-US" w:eastAsia="zh-CN"/>
        </w:rPr>
        <w:t>一</w:t>
      </w:r>
      <w:r>
        <w:rPr>
          <w:rFonts w:hint="eastAsia" w:ascii="楷体_GB2312" w:hAnsi="楷体_GB2312" w:eastAsia="楷体_GB2312" w:cs="楷体_GB2312"/>
          <w:b w:val="0"/>
          <w:bCs w:val="0"/>
          <w:color w:val="auto"/>
          <w:sz w:val="32"/>
          <w:szCs w:val="32"/>
          <w:lang w:eastAsia="zh-CN"/>
        </w:rPr>
        <w:t>）严落实</w:t>
      </w:r>
      <w:r>
        <w:rPr>
          <w:rFonts w:hint="eastAsia" w:ascii="楷体_GB2312" w:hAnsi="楷体_GB2312" w:eastAsia="楷体_GB2312" w:cs="楷体_GB2312"/>
          <w:b w:val="0"/>
          <w:bCs w:val="0"/>
          <w:color w:val="auto"/>
          <w:sz w:val="32"/>
          <w:szCs w:val="32"/>
        </w:rPr>
        <w:t>，</w:t>
      </w:r>
      <w:r>
        <w:rPr>
          <w:rFonts w:hint="eastAsia" w:ascii="楷体_GB2312" w:hAnsi="楷体_GB2312" w:eastAsia="楷体_GB2312" w:cs="楷体_GB2312"/>
          <w:b w:val="0"/>
          <w:bCs w:val="0"/>
          <w:color w:val="auto"/>
          <w:sz w:val="32"/>
          <w:szCs w:val="32"/>
          <w:lang w:eastAsia="zh-CN"/>
        </w:rPr>
        <w:t>确保</w:t>
      </w:r>
      <w:r>
        <w:rPr>
          <w:rFonts w:hint="eastAsia" w:ascii="楷体_GB2312" w:hAnsi="楷体_GB2312" w:eastAsia="楷体_GB2312" w:cs="楷体_GB2312"/>
          <w:b w:val="0"/>
          <w:bCs w:val="0"/>
          <w:color w:val="auto"/>
          <w:sz w:val="32"/>
          <w:szCs w:val="32"/>
        </w:rPr>
        <w:t>创建力度</w:t>
      </w:r>
      <w:r>
        <w:rPr>
          <w:rFonts w:hint="eastAsia" w:ascii="楷体_GB2312" w:hAnsi="楷体_GB2312" w:eastAsia="楷体_GB2312" w:cs="楷体_GB2312"/>
          <w:b w:val="0"/>
          <w:bCs w:val="0"/>
          <w:color w:val="auto"/>
          <w:sz w:val="32"/>
          <w:szCs w:val="32"/>
          <w:lang w:eastAsia="zh-CN"/>
        </w:rPr>
        <w:t>强</w:t>
      </w:r>
    </w:p>
    <w:p>
      <w:pPr>
        <w:pStyle w:val="2"/>
        <w:keepNext w:val="0"/>
        <w:keepLines w:val="0"/>
        <w:pageBreakBefore w:val="0"/>
        <w:widowControl w:val="0"/>
        <w:numPr>
          <w:ilvl w:val="0"/>
          <w:numId w:val="0"/>
        </w:numPr>
        <w:kinsoku/>
        <w:wordWrap/>
        <w:overflowPunct/>
        <w:topLinePunct w:val="0"/>
        <w:autoSpaceDE/>
        <w:autoSpaceDN/>
        <w:bidi w:val="0"/>
        <w:snapToGrid/>
        <w:spacing w:line="240" w:lineRule="auto"/>
        <w:ind w:left="0" w:firstLine="643"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color w:val="auto"/>
          <w:sz w:val="32"/>
          <w:szCs w:val="32"/>
          <w:lang w:val="en-US" w:eastAsia="zh-CN"/>
        </w:rPr>
        <w:t>落实督查督办机制的执行。</w:t>
      </w:r>
      <w:r>
        <w:rPr>
          <w:rFonts w:hint="eastAsia" w:ascii="仿宋_GB2312" w:hAnsi="仿宋_GB2312" w:eastAsia="仿宋_GB2312" w:cs="仿宋_GB2312"/>
          <w:color w:val="auto"/>
          <w:spacing w:val="0"/>
          <w:sz w:val="32"/>
          <w:szCs w:val="32"/>
          <w:highlight w:val="none"/>
        </w:rPr>
        <w:t>严格落实“一事一督办、一周一派单、一月一</w:t>
      </w:r>
      <w:r>
        <w:rPr>
          <w:rFonts w:hint="eastAsia" w:ascii="仿宋_GB2312" w:hAnsi="仿宋_GB2312" w:eastAsia="仿宋_GB2312" w:cs="仿宋_GB2312"/>
          <w:color w:val="auto"/>
          <w:spacing w:val="0"/>
          <w:sz w:val="32"/>
          <w:szCs w:val="32"/>
          <w:highlight w:val="none"/>
          <w:lang w:val="en-US" w:eastAsia="zh-CN"/>
        </w:rPr>
        <w:t>考核</w:t>
      </w:r>
      <w:r>
        <w:rPr>
          <w:rFonts w:hint="eastAsia" w:ascii="仿宋_GB2312" w:hAnsi="仿宋_GB2312" w:eastAsia="仿宋_GB2312" w:cs="仿宋_GB2312"/>
          <w:color w:val="auto"/>
          <w:spacing w:val="0"/>
          <w:sz w:val="32"/>
          <w:szCs w:val="32"/>
          <w:highlight w:val="none"/>
        </w:rPr>
        <w:t>、一季一</w:t>
      </w:r>
      <w:r>
        <w:rPr>
          <w:rFonts w:hint="eastAsia" w:ascii="仿宋_GB2312" w:hAnsi="仿宋_GB2312" w:eastAsia="仿宋_GB2312" w:cs="仿宋_GB2312"/>
          <w:color w:val="auto"/>
          <w:spacing w:val="0"/>
          <w:sz w:val="32"/>
          <w:szCs w:val="32"/>
          <w:highlight w:val="none"/>
          <w:lang w:val="en-US" w:eastAsia="zh-CN"/>
        </w:rPr>
        <w:t>督查</w:t>
      </w:r>
      <w:r>
        <w:rPr>
          <w:rFonts w:hint="eastAsia" w:ascii="仿宋_GB2312" w:hAnsi="仿宋_GB2312" w:eastAsia="仿宋_GB2312" w:cs="仿宋_GB2312"/>
          <w:color w:val="auto"/>
          <w:spacing w:val="0"/>
          <w:sz w:val="32"/>
          <w:szCs w:val="32"/>
          <w:highlight w:val="none"/>
        </w:rPr>
        <w:t>”制度，及时</w:t>
      </w:r>
      <w:r>
        <w:rPr>
          <w:rFonts w:hint="eastAsia" w:ascii="仿宋_GB2312" w:hAnsi="仿宋_GB2312" w:eastAsia="仿宋_GB2312" w:cs="仿宋_GB2312"/>
          <w:color w:val="auto"/>
          <w:spacing w:val="0"/>
          <w:sz w:val="32"/>
          <w:szCs w:val="32"/>
          <w:highlight w:val="none"/>
          <w:lang w:eastAsia="zh-CN"/>
        </w:rPr>
        <w:t>召开</w:t>
      </w:r>
      <w:r>
        <w:rPr>
          <w:rFonts w:hint="eastAsia" w:ascii="仿宋_GB2312" w:hAnsi="仿宋_GB2312" w:eastAsia="仿宋_GB2312" w:cs="仿宋_GB2312"/>
          <w:color w:val="auto"/>
          <w:spacing w:val="0"/>
          <w:sz w:val="32"/>
          <w:szCs w:val="32"/>
          <w:highlight w:val="none"/>
        </w:rPr>
        <w:t>创文</w:t>
      </w:r>
      <w:r>
        <w:rPr>
          <w:rFonts w:hint="eastAsia" w:ascii="仿宋_GB2312" w:hAnsi="仿宋_GB2312" w:eastAsia="仿宋_GB2312" w:cs="仿宋_GB2312"/>
          <w:color w:val="auto"/>
          <w:spacing w:val="0"/>
          <w:sz w:val="32"/>
          <w:szCs w:val="32"/>
          <w:highlight w:val="none"/>
          <w:lang w:val="en-US" w:eastAsia="zh-CN"/>
        </w:rPr>
        <w:t>工作月</w:t>
      </w:r>
      <w:r>
        <w:rPr>
          <w:rFonts w:hint="eastAsia" w:ascii="仿宋_GB2312" w:hAnsi="仿宋_GB2312" w:eastAsia="仿宋_GB2312" w:cs="仿宋_GB2312"/>
          <w:color w:val="auto"/>
          <w:spacing w:val="0"/>
          <w:sz w:val="32"/>
          <w:szCs w:val="32"/>
          <w:highlight w:val="none"/>
        </w:rPr>
        <w:t>例会</w:t>
      </w:r>
      <w:r>
        <w:rPr>
          <w:rFonts w:hint="eastAsia" w:ascii="仿宋_GB2312" w:hAnsi="仿宋_GB2312" w:eastAsia="仿宋_GB2312" w:cs="仿宋_GB2312"/>
          <w:color w:val="auto"/>
          <w:spacing w:val="0"/>
          <w:sz w:val="32"/>
          <w:szCs w:val="32"/>
          <w:highlight w:val="none"/>
          <w:lang w:eastAsia="zh-CN"/>
        </w:rPr>
        <w:t>，</w:t>
      </w:r>
      <w:r>
        <w:rPr>
          <w:rFonts w:hint="eastAsia" w:ascii="仿宋_GB2312" w:hAnsi="仿宋_GB2312" w:eastAsia="仿宋_GB2312" w:cs="仿宋_GB2312"/>
          <w:color w:val="auto"/>
          <w:spacing w:val="0"/>
          <w:sz w:val="32"/>
          <w:szCs w:val="32"/>
          <w:highlight w:val="none"/>
          <w:lang w:val="en-US" w:eastAsia="zh-CN"/>
        </w:rPr>
        <w:t>研究解决城市管理重难点问题，并在下月例会跟踪进度，大力</w:t>
      </w:r>
      <w:r>
        <w:rPr>
          <w:rFonts w:hint="eastAsia" w:ascii="仿宋_GB2312" w:hAnsi="仿宋_GB2312" w:eastAsia="仿宋_GB2312" w:cs="仿宋_GB2312"/>
          <w:color w:val="auto"/>
          <w:spacing w:val="0"/>
          <w:sz w:val="32"/>
          <w:szCs w:val="32"/>
          <w:highlight w:val="none"/>
          <w:lang w:eastAsia="zh-CN"/>
        </w:rPr>
        <w:t>解决</w:t>
      </w:r>
      <w:r>
        <w:rPr>
          <w:rFonts w:hint="eastAsia" w:ascii="仿宋_GB2312" w:hAnsi="仿宋_GB2312" w:eastAsia="仿宋_GB2312" w:cs="仿宋_GB2312"/>
          <w:color w:val="auto"/>
          <w:spacing w:val="0"/>
          <w:sz w:val="32"/>
          <w:szCs w:val="32"/>
          <w:highlight w:val="none"/>
        </w:rPr>
        <w:t>“不作为、慢作为”问题。</w:t>
      </w:r>
      <w:r>
        <w:rPr>
          <w:rFonts w:hint="eastAsia" w:ascii="仿宋_GB2312" w:hAnsi="仿宋_GB2312" w:eastAsia="仿宋_GB2312" w:cs="仿宋_GB2312"/>
          <w:b/>
          <w:bCs/>
          <w:color w:val="auto"/>
          <w:sz w:val="32"/>
          <w:szCs w:val="32"/>
          <w:lang w:val="en-US" w:eastAsia="zh-CN"/>
        </w:rPr>
        <w:t>二是</w:t>
      </w:r>
      <w:r>
        <w:rPr>
          <w:rFonts w:hint="eastAsia" w:ascii="仿宋_GB2312" w:hAnsi="仿宋_GB2312" w:eastAsia="仿宋_GB2312" w:cs="仿宋_GB2312"/>
          <w:color w:val="auto"/>
          <w:sz w:val="32"/>
          <w:szCs w:val="32"/>
          <w:lang w:val="en-US" w:eastAsia="zh-CN"/>
        </w:rPr>
        <w:t>落实宣传教育机制的执行。通过新闻媒体，公益广告、主题活动等多维度宣传创文新典型新风尚，同时扩宽民意收集渠道，采取问卷调查、民意测评、网络互动等方式，广泛收集并及时处理群众发现、举报的突出问题，切实解决创文工作服务民生、提升城市管理水平的难点。</w:t>
      </w:r>
      <w:r>
        <w:rPr>
          <w:rFonts w:hint="eastAsia" w:ascii="仿宋_GB2312" w:hAnsi="仿宋_GB2312" w:eastAsia="仿宋_GB2312" w:cs="仿宋_GB2312"/>
          <w:b/>
          <w:bCs/>
          <w:color w:val="auto"/>
          <w:sz w:val="32"/>
          <w:szCs w:val="32"/>
          <w:lang w:val="en-US" w:eastAsia="zh-CN"/>
        </w:rPr>
        <w:t>三是</w:t>
      </w:r>
      <w:r>
        <w:rPr>
          <w:rFonts w:hint="eastAsia" w:ascii="仿宋_GB2312" w:hAnsi="仿宋_GB2312" w:eastAsia="仿宋_GB2312" w:cs="仿宋_GB2312"/>
          <w:color w:val="auto"/>
          <w:sz w:val="32"/>
          <w:szCs w:val="32"/>
          <w:lang w:val="en-US" w:eastAsia="zh-CN"/>
        </w:rPr>
        <w:t>落实问责机制的执行。落实创文约谈制度，根据每月县创文办发布的通报，对于考核分数排后的创文责任单位进行约谈，给出整改时限，</w:t>
      </w:r>
      <w:r>
        <w:rPr>
          <w:rFonts w:hint="eastAsia" w:ascii="仿宋_GB2312" w:hAnsi="仿宋_GB2312" w:eastAsia="仿宋_GB2312" w:cs="仿宋_GB2312"/>
          <w:color w:val="auto"/>
          <w:sz w:val="32"/>
          <w:szCs w:val="32"/>
          <w:lang w:eastAsia="zh-CN"/>
        </w:rPr>
        <w:t>严肃查处工作推动不力，推诿扯皮的人和事，</w:t>
      </w:r>
      <w:r>
        <w:rPr>
          <w:rFonts w:hint="eastAsia" w:ascii="仿宋_GB2312" w:hAnsi="仿宋_GB2312" w:eastAsia="仿宋_GB2312" w:cs="仿宋_GB2312"/>
          <w:color w:val="auto"/>
          <w:sz w:val="32"/>
          <w:szCs w:val="32"/>
          <w:lang w:val="en-US" w:eastAsia="zh-CN"/>
        </w:rPr>
        <w:t>压实责任，确保创建活动深入开展。</w:t>
      </w:r>
    </w:p>
    <w:p>
      <w:pPr>
        <w:keepNext w:val="0"/>
        <w:keepLines w:val="0"/>
        <w:pageBreakBefore w:val="0"/>
        <w:widowControl w:val="0"/>
        <w:numPr>
          <w:ilvl w:val="0"/>
          <w:numId w:val="1"/>
        </w:numPr>
        <w:kinsoku/>
        <w:wordWrap/>
        <w:overflowPunct/>
        <w:topLinePunct w:val="0"/>
        <w:autoSpaceDE/>
        <w:autoSpaceDN/>
        <w:bidi w:val="0"/>
        <w:snapToGrid/>
        <w:spacing w:line="240" w:lineRule="auto"/>
        <w:ind w:left="0" w:firstLine="640" w:firstLineChars="200"/>
        <w:jc w:val="both"/>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抓整改，力促城市环境优</w:t>
      </w:r>
    </w:p>
    <w:p>
      <w:pPr>
        <w:keepNext w:val="0"/>
        <w:keepLines w:val="0"/>
        <w:pageBreakBefore w:val="0"/>
        <w:widowControl w:val="0"/>
        <w:numPr>
          <w:ilvl w:val="0"/>
          <w:numId w:val="0"/>
        </w:numPr>
        <w:kinsoku/>
        <w:wordWrap/>
        <w:overflowPunct/>
        <w:topLinePunct w:val="0"/>
        <w:autoSpaceDE/>
        <w:autoSpaceDN/>
        <w:bidi w:val="0"/>
        <w:snapToGrid/>
        <w:spacing w:line="240" w:lineRule="auto"/>
        <w:ind w:firstLine="703" w:firstLineChars="200"/>
        <w:jc w:val="both"/>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b/>
          <w:bCs/>
          <w:i w:val="0"/>
          <w:iCs w:val="0"/>
          <w:caps w:val="0"/>
          <w:color w:val="auto"/>
          <w:spacing w:val="15"/>
          <w:sz w:val="32"/>
          <w:szCs w:val="32"/>
          <w:shd w:val="clear" w:color="auto" w:fill="FFFFFF"/>
          <w:lang w:val="en-US" w:eastAsia="zh-CN"/>
        </w:rPr>
        <w:t>一是</w:t>
      </w:r>
      <w:r>
        <w:rPr>
          <w:rFonts w:hint="eastAsia" w:ascii="仿宋_GB2312" w:hAnsi="仿宋_GB2312" w:eastAsia="仿宋_GB2312" w:cs="仿宋_GB2312"/>
          <w:b w:val="0"/>
          <w:bCs w:val="0"/>
          <w:i w:val="0"/>
          <w:iCs w:val="0"/>
          <w:caps w:val="0"/>
          <w:color w:val="auto"/>
          <w:spacing w:val="15"/>
          <w:sz w:val="32"/>
          <w:szCs w:val="32"/>
          <w:shd w:val="clear" w:color="auto" w:fill="FFFFFF"/>
          <w:lang w:val="en-US" w:eastAsia="zh-CN"/>
        </w:rPr>
        <w:t>严格对标对表整改。重点针对《2022年度省实地测评未得满分项目整改清单》，</w:t>
      </w:r>
      <w:r>
        <w:rPr>
          <w:rFonts w:hint="eastAsia" w:ascii="仿宋_GB2312" w:hAnsi="仿宋_GB2312" w:eastAsia="仿宋_GB2312" w:cs="仿宋_GB2312"/>
          <w:color w:val="auto"/>
          <w:kern w:val="0"/>
          <w:sz w:val="32"/>
          <w:szCs w:val="32"/>
          <w:lang w:val="en-US" w:eastAsia="zh-CN" w:bidi="ar-SA"/>
        </w:rPr>
        <w:t>要求相关责任单位按创建标准制定整改方案建立台账，逐条逐项、对标对表严抓整改落实。</w:t>
      </w:r>
      <w:r>
        <w:rPr>
          <w:rFonts w:hint="eastAsia" w:ascii="仿宋_GB2312" w:hAnsi="仿宋_GB2312" w:eastAsia="仿宋_GB2312" w:cs="仿宋_GB2312"/>
          <w:b/>
          <w:bCs/>
          <w:color w:val="auto"/>
          <w:kern w:val="0"/>
          <w:sz w:val="32"/>
          <w:szCs w:val="32"/>
          <w:lang w:val="en-US" w:eastAsia="zh-CN" w:bidi="ar-SA"/>
        </w:rPr>
        <w:t>二是</w:t>
      </w:r>
      <w:r>
        <w:rPr>
          <w:rFonts w:hint="eastAsia" w:ascii="仿宋_GB2312" w:hAnsi="仿宋_GB2312" w:eastAsia="仿宋_GB2312" w:cs="仿宋_GB2312"/>
          <w:color w:val="auto"/>
          <w:kern w:val="0"/>
          <w:sz w:val="32"/>
          <w:szCs w:val="32"/>
          <w:lang w:val="en-US" w:eastAsia="zh-CN" w:bidi="ar-SA"/>
        </w:rPr>
        <w:t>狠抓重点难点突破。重点针对</w:t>
      </w:r>
      <w:r>
        <w:rPr>
          <w:rFonts w:hint="eastAsia" w:ascii="仿宋_GB2312" w:hAnsi="仿宋_GB2312" w:eastAsia="仿宋_GB2312" w:cs="仿宋_GB2312"/>
          <w:color w:val="auto"/>
          <w:sz w:val="32"/>
          <w:szCs w:val="32"/>
          <w:lang w:val="en-US" w:eastAsia="zh-CN"/>
        </w:rPr>
        <w:t>交通秩序混乱、空中缆线杂乱、环境卫生脏乱、基础设施破损等问题进行专项整治，同时</w:t>
      </w:r>
      <w:r>
        <w:rPr>
          <w:rFonts w:hint="eastAsia" w:ascii="仿宋_GB2312" w:hAnsi="仿宋_GB2312" w:eastAsia="仿宋_GB2312" w:cs="仿宋_GB2312"/>
          <w:color w:val="auto"/>
          <w:kern w:val="0"/>
          <w:sz w:val="32"/>
          <w:szCs w:val="32"/>
          <w:lang w:val="en-US" w:eastAsia="zh-CN" w:bidi="ar-SA"/>
        </w:rPr>
        <w:t>通过群众反映、实地巡查发现、重点单位征询等方式，确定创文重难点提交每月例会探讨解决，高位推进，统筹协调形成合力，推动重难点问题有效解决。</w:t>
      </w:r>
    </w:p>
    <w:p>
      <w:pPr>
        <w:keepNext w:val="0"/>
        <w:keepLines w:val="0"/>
        <w:pageBreakBefore w:val="0"/>
        <w:widowControl w:val="0"/>
        <w:numPr>
          <w:ilvl w:val="0"/>
          <w:numId w:val="1"/>
        </w:numPr>
        <w:kinsoku/>
        <w:wordWrap/>
        <w:overflowPunct/>
        <w:topLinePunct w:val="0"/>
        <w:autoSpaceDE/>
        <w:autoSpaceDN/>
        <w:bidi w:val="0"/>
        <w:snapToGrid/>
        <w:spacing w:line="240" w:lineRule="auto"/>
        <w:ind w:left="0" w:leftChars="0" w:firstLine="640" w:firstLineChars="200"/>
        <w:jc w:val="both"/>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强指导，力争材料质量高</w:t>
      </w:r>
    </w:p>
    <w:p>
      <w:pPr>
        <w:keepNext w:val="0"/>
        <w:keepLines w:val="0"/>
        <w:pageBreakBefore w:val="0"/>
        <w:widowControl w:val="0"/>
        <w:numPr>
          <w:ilvl w:val="0"/>
          <w:numId w:val="0"/>
        </w:numPr>
        <w:kinsoku/>
        <w:wordWrap/>
        <w:overflowPunct/>
        <w:topLinePunct w:val="0"/>
        <w:autoSpaceDE/>
        <w:autoSpaceDN/>
        <w:bidi w:val="0"/>
        <w:snapToGrid/>
        <w:spacing w:line="240" w:lineRule="auto"/>
        <w:ind w:firstLine="643" w:firstLineChars="200"/>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b w:val="0"/>
          <w:bCs w:val="0"/>
          <w:color w:val="auto"/>
          <w:sz w:val="32"/>
          <w:szCs w:val="32"/>
          <w:lang w:val="en-US" w:eastAsia="zh-CN"/>
        </w:rPr>
        <w:t>加强业务指导和培训。制定《</w:t>
      </w:r>
      <w:r>
        <w:rPr>
          <w:rFonts w:hint="eastAsia" w:ascii="仿宋_GB2312" w:hAnsi="仿宋_GB2312" w:eastAsia="仿宋_GB2312" w:cs="仿宋_GB2312"/>
          <w:color w:val="auto"/>
          <w:sz w:val="32"/>
          <w:szCs w:val="32"/>
          <w:lang w:val="en-US" w:eastAsia="zh-CN"/>
        </w:rPr>
        <w:t>乳源瑶族自治县2023年全国文明城市测评体系操作手册》等指导性文件，开展业务培训，</w:t>
      </w:r>
      <w:r>
        <w:rPr>
          <w:rFonts w:hint="eastAsia" w:ascii="仿宋_GB2312" w:hAnsi="仿宋_GB2312" w:eastAsia="仿宋_GB2312" w:cs="仿宋_GB2312"/>
          <w:b w:val="0"/>
          <w:bCs w:val="0"/>
          <w:color w:val="auto"/>
          <w:sz w:val="32"/>
          <w:szCs w:val="32"/>
          <w:lang w:val="en-US" w:eastAsia="zh-CN"/>
        </w:rPr>
        <w:t>编写网上申报工作需求清单，</w:t>
      </w:r>
      <w:r>
        <w:rPr>
          <w:rFonts w:hint="eastAsia" w:ascii="仿宋_GB2312" w:hAnsi="仿宋_GB2312" w:eastAsia="仿宋_GB2312" w:cs="仿宋_GB2312"/>
          <w:color w:val="auto"/>
          <w:sz w:val="32"/>
          <w:szCs w:val="32"/>
          <w:lang w:val="en-US" w:eastAsia="zh-CN"/>
        </w:rPr>
        <w:t>按照规定时间节点，指导单位完成网上申报材料任务，提前审核把关主题活动的形式和内容，把每一项申报任务都做到定人、定责、定时限，确保材料高质量完成。</w:t>
      </w:r>
      <w:r>
        <w:rPr>
          <w:rFonts w:hint="eastAsia" w:ascii="仿宋_GB2312" w:hAnsi="仿宋_GB2312" w:eastAsia="仿宋_GB2312" w:cs="仿宋_GB2312"/>
          <w:b/>
          <w:bCs/>
          <w:color w:val="auto"/>
          <w:sz w:val="32"/>
          <w:szCs w:val="32"/>
          <w:lang w:val="en-US" w:eastAsia="zh-CN"/>
        </w:rPr>
        <w:t>二是</w:t>
      </w:r>
      <w:r>
        <w:rPr>
          <w:rFonts w:hint="eastAsia" w:ascii="仿宋_GB2312" w:hAnsi="仿宋_GB2312" w:eastAsia="仿宋_GB2312" w:cs="仿宋_GB2312"/>
          <w:b w:val="0"/>
          <w:bCs w:val="0"/>
          <w:color w:val="auto"/>
          <w:sz w:val="32"/>
          <w:szCs w:val="32"/>
          <w:lang w:val="en-US" w:eastAsia="zh-CN"/>
        </w:rPr>
        <w:t>对各责任单位进行创文网上申报材料工作情况的季度通报，责令责</w:t>
      </w:r>
      <w:r>
        <w:rPr>
          <w:rFonts w:hint="eastAsia" w:ascii="仿宋_GB2312" w:hAnsi="仿宋_GB2312" w:eastAsia="仿宋_GB2312" w:cs="仿宋_GB2312"/>
          <w:color w:val="auto"/>
          <w:sz w:val="32"/>
          <w:szCs w:val="32"/>
          <w:lang w:val="en-US" w:eastAsia="zh-CN"/>
        </w:rPr>
        <w:t>任单位按照整改要求和时限，做好网上申报材料上报工作</w:t>
      </w:r>
      <w:r>
        <w:rPr>
          <w:rFonts w:hint="eastAsia" w:ascii="仿宋_GB2312" w:hAnsi="仿宋_GB2312" w:eastAsia="仿宋_GB2312" w:cs="仿宋_GB2312"/>
          <w:b w:val="0"/>
          <w:bCs w:val="0"/>
          <w:color w:val="auto"/>
          <w:sz w:val="32"/>
          <w:szCs w:val="32"/>
          <w:lang w:val="en-US" w:eastAsia="zh-CN"/>
        </w:rPr>
        <w:t>。</w:t>
      </w:r>
    </w:p>
    <w:p>
      <w:pPr>
        <w:keepNext w:val="0"/>
        <w:keepLines w:val="0"/>
        <w:pageBreakBefore w:val="0"/>
        <w:widowControl w:val="0"/>
        <w:numPr>
          <w:ilvl w:val="0"/>
          <w:numId w:val="1"/>
        </w:numPr>
        <w:kinsoku/>
        <w:wordWrap/>
        <w:overflowPunct/>
        <w:topLinePunct w:val="0"/>
        <w:autoSpaceDE/>
        <w:autoSpaceDN/>
        <w:bidi w:val="0"/>
        <w:snapToGrid/>
        <w:spacing w:line="240" w:lineRule="auto"/>
        <w:ind w:left="0" w:leftChars="0" w:firstLine="640" w:firstLineChars="200"/>
        <w:jc w:val="both"/>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重引领，提升问卷成效好</w:t>
      </w:r>
    </w:p>
    <w:p>
      <w:pPr>
        <w:keepNext w:val="0"/>
        <w:keepLines w:val="0"/>
        <w:pageBreakBefore w:val="0"/>
        <w:widowControl w:val="0"/>
        <w:numPr>
          <w:ilvl w:val="0"/>
          <w:numId w:val="0"/>
        </w:numPr>
        <w:kinsoku/>
        <w:wordWrap/>
        <w:overflowPunct/>
        <w:topLinePunct w:val="0"/>
        <w:autoSpaceDE/>
        <w:autoSpaceDN/>
        <w:bidi w:val="0"/>
        <w:snapToGrid/>
        <w:spacing w:line="240" w:lineRule="auto"/>
        <w:ind w:firstLine="643"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一是</w:t>
      </w:r>
      <w:r>
        <w:rPr>
          <w:rFonts w:hint="eastAsia" w:ascii="仿宋_GB2312" w:hAnsi="仿宋_GB2312" w:eastAsia="仿宋_GB2312" w:cs="仿宋_GB2312"/>
          <w:b w:val="0"/>
          <w:bCs/>
          <w:color w:val="auto"/>
          <w:sz w:val="32"/>
          <w:szCs w:val="32"/>
          <w:lang w:val="en-US" w:eastAsia="zh-CN"/>
        </w:rPr>
        <w:t>依托城市综合网格持续深入开展入户宣传工作。</w:t>
      </w:r>
      <w:r>
        <w:rPr>
          <w:rFonts w:hint="eastAsia" w:ascii="仿宋_GB2312" w:hAnsi="仿宋_GB2312" w:eastAsia="仿宋_GB2312" w:cs="仿宋_GB2312"/>
          <w:color w:val="auto"/>
          <w:sz w:val="32"/>
          <w:szCs w:val="32"/>
        </w:rPr>
        <w:t>加强</w:t>
      </w:r>
      <w:r>
        <w:rPr>
          <w:rFonts w:hint="eastAsia" w:ascii="仿宋_GB2312" w:hAnsi="仿宋_GB2312" w:eastAsia="仿宋_GB2312" w:cs="仿宋_GB2312"/>
          <w:b w:val="0"/>
          <w:bCs/>
          <w:color w:val="auto"/>
          <w:sz w:val="32"/>
          <w:szCs w:val="32"/>
        </w:rPr>
        <w:t>社区和</w:t>
      </w:r>
      <w:r>
        <w:rPr>
          <w:rFonts w:hint="eastAsia" w:ascii="仿宋_GB2312" w:hAnsi="仿宋_GB2312" w:eastAsia="仿宋_GB2312" w:cs="仿宋_GB2312"/>
          <w:color w:val="auto"/>
          <w:sz w:val="32"/>
          <w:szCs w:val="32"/>
        </w:rPr>
        <w:t>网格单位联动，做好走访计划表，对所在社区（网格）物业小区及无物业小区开展走访活动，完善好居民信息表，提升入户调查精准率。</w:t>
      </w:r>
      <w:r>
        <w:rPr>
          <w:rFonts w:hint="eastAsia" w:ascii="仿宋_GB2312" w:hAnsi="仿宋_GB2312" w:eastAsia="仿宋_GB2312" w:cs="仿宋_GB2312"/>
          <w:b/>
          <w:color w:val="auto"/>
          <w:sz w:val="32"/>
          <w:szCs w:val="32"/>
        </w:rPr>
        <w:t>二是</w:t>
      </w:r>
      <w:r>
        <w:rPr>
          <w:rFonts w:hint="eastAsia" w:ascii="仿宋_GB2312" w:hAnsi="仿宋_GB2312" w:eastAsia="仿宋_GB2312" w:cs="仿宋_GB2312"/>
          <w:color w:val="auto"/>
          <w:sz w:val="32"/>
          <w:szCs w:val="32"/>
        </w:rPr>
        <w:t>认真听取群众意见和建议，及时研究解决群众反馈强烈的问题，做好</w:t>
      </w:r>
      <w:r>
        <w:rPr>
          <w:rFonts w:hint="eastAsia" w:ascii="仿宋_GB2312" w:hAnsi="仿宋_GB2312" w:eastAsia="仿宋_GB2312" w:cs="仿宋_GB2312"/>
          <w:color w:val="auto"/>
          <w:sz w:val="32"/>
          <w:szCs w:val="32"/>
          <w:lang w:eastAsia="zh-CN"/>
        </w:rPr>
        <w:t>群众宣传</w:t>
      </w:r>
      <w:r>
        <w:rPr>
          <w:rFonts w:hint="eastAsia" w:ascii="仿宋_GB2312" w:hAnsi="仿宋_GB2312" w:eastAsia="仿宋_GB2312" w:cs="仿宋_GB2312"/>
          <w:color w:val="auto"/>
          <w:sz w:val="32"/>
          <w:szCs w:val="32"/>
        </w:rPr>
        <w:t>解释工作，切实提高居民对创文的参与率、支持率和满意率。</w:t>
      </w:r>
      <w:r>
        <w:rPr>
          <w:rFonts w:hint="eastAsia" w:ascii="仿宋_GB2312" w:hAnsi="仿宋_GB2312" w:eastAsia="仿宋_GB2312" w:cs="仿宋_GB2312"/>
          <w:b/>
          <w:color w:val="auto"/>
          <w:sz w:val="32"/>
          <w:szCs w:val="32"/>
        </w:rPr>
        <w:t>三是</w:t>
      </w:r>
      <w:r>
        <w:rPr>
          <w:rFonts w:hint="eastAsia" w:ascii="仿宋_GB2312" w:hAnsi="仿宋_GB2312" w:eastAsia="仿宋_GB2312" w:cs="仿宋_GB2312"/>
          <w:color w:val="auto"/>
          <w:sz w:val="32"/>
          <w:szCs w:val="32"/>
        </w:rPr>
        <w:t>常态化开展党员进社区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沿街商铺、学校等问卷调查活动等。</w:t>
      </w:r>
      <w:r>
        <w:rPr>
          <w:rFonts w:hint="eastAsia" w:ascii="仿宋_GB2312" w:hAnsi="仿宋_GB2312" w:eastAsia="仿宋_GB2312" w:cs="仿宋_GB2312"/>
          <w:color w:val="auto"/>
          <w:sz w:val="32"/>
          <w:szCs w:val="32"/>
          <w:lang w:val="en-US" w:eastAsia="zh-CN"/>
        </w:rPr>
        <w:t>及时解决</w:t>
      </w:r>
      <w:r>
        <w:rPr>
          <w:rFonts w:hint="eastAsia" w:ascii="仿宋_GB2312" w:hAnsi="仿宋_GB2312" w:eastAsia="仿宋_GB2312" w:cs="仿宋_GB2312"/>
          <w:color w:val="auto"/>
          <w:sz w:val="32"/>
          <w:szCs w:val="32"/>
        </w:rPr>
        <w:t>问卷调查中分数</w:t>
      </w:r>
      <w:r>
        <w:rPr>
          <w:rFonts w:hint="eastAsia" w:ascii="仿宋_GB2312" w:hAnsi="仿宋_GB2312" w:eastAsia="仿宋_GB2312" w:cs="仿宋_GB2312"/>
          <w:color w:val="auto"/>
          <w:sz w:val="32"/>
          <w:szCs w:val="32"/>
          <w:lang w:val="en-US" w:eastAsia="zh-CN"/>
        </w:rPr>
        <w:t>偏</w:t>
      </w:r>
      <w:r>
        <w:rPr>
          <w:rFonts w:hint="eastAsia" w:ascii="仿宋_GB2312" w:hAnsi="仿宋_GB2312" w:eastAsia="仿宋_GB2312" w:cs="仿宋_GB2312"/>
          <w:color w:val="auto"/>
          <w:sz w:val="32"/>
          <w:szCs w:val="32"/>
        </w:rPr>
        <w:t>低</w:t>
      </w:r>
      <w:r>
        <w:rPr>
          <w:rFonts w:hint="eastAsia" w:ascii="仿宋_GB2312" w:hAnsi="仿宋_GB2312" w:eastAsia="仿宋_GB2312" w:cs="仿宋_GB2312"/>
          <w:color w:val="auto"/>
          <w:sz w:val="32"/>
          <w:szCs w:val="32"/>
          <w:lang w:val="en-US" w:eastAsia="zh-CN"/>
        </w:rPr>
        <w:t>的</w:t>
      </w:r>
      <w:r>
        <w:rPr>
          <w:rFonts w:hint="eastAsia" w:ascii="仿宋_GB2312" w:hAnsi="仿宋_GB2312" w:eastAsia="仿宋_GB2312" w:cs="仿宋_GB2312"/>
          <w:color w:val="auto"/>
          <w:sz w:val="32"/>
          <w:szCs w:val="32"/>
        </w:rPr>
        <w:t>测评项目</w:t>
      </w:r>
      <w:r>
        <w:rPr>
          <w:rFonts w:hint="eastAsia" w:ascii="仿宋_GB2312" w:hAnsi="仿宋_GB2312" w:eastAsia="仿宋_GB2312" w:cs="仿宋_GB2312"/>
          <w:color w:val="auto"/>
          <w:sz w:val="32"/>
          <w:szCs w:val="32"/>
          <w:lang w:val="en-US" w:eastAsia="zh-CN"/>
        </w:rPr>
        <w:t>所反映的问题，</w:t>
      </w:r>
      <w:r>
        <w:rPr>
          <w:rFonts w:hint="eastAsia" w:ascii="仿宋_GB2312" w:hAnsi="仿宋_GB2312" w:eastAsia="仿宋_GB2312" w:cs="仿宋_GB2312"/>
          <w:color w:val="auto"/>
          <w:sz w:val="32"/>
          <w:szCs w:val="32"/>
        </w:rPr>
        <w:t>并对市民做好重点宣传，不断深化创文宣传教育。</w:t>
      </w:r>
      <w:r>
        <w:rPr>
          <w:rFonts w:hint="eastAsia" w:ascii="仿宋_GB2312" w:hAnsi="仿宋_GB2312" w:eastAsia="仿宋_GB2312" w:cs="仿宋_GB2312"/>
          <w:b/>
          <w:color w:val="auto"/>
          <w:sz w:val="32"/>
          <w:szCs w:val="32"/>
        </w:rPr>
        <w:t>四是</w:t>
      </w:r>
      <w:r>
        <w:rPr>
          <w:rFonts w:hint="eastAsia" w:ascii="仿宋_GB2312" w:hAnsi="仿宋_GB2312" w:eastAsia="仿宋_GB2312" w:cs="仿宋_GB2312"/>
          <w:color w:val="auto"/>
          <w:sz w:val="32"/>
          <w:szCs w:val="32"/>
        </w:rPr>
        <w:t>持续开展网络问卷调查、“不文明随手拍”“答卷有奖”和“留言有礼”等线上宣传活动，营造浓厚的创建氛围。</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破难题，补齐短板水平升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auto"/>
          <w:sz w:val="32"/>
          <w:szCs w:val="32"/>
          <w:lang w:eastAsia="zh-CN"/>
        </w:rPr>
        <w:t>一是</w:t>
      </w:r>
      <w:r>
        <w:rPr>
          <w:rFonts w:hint="eastAsia" w:ascii="仿宋_GB2312" w:hAnsi="仿宋_GB2312" w:eastAsia="仿宋_GB2312" w:cs="仿宋_GB2312"/>
          <w:i w:val="0"/>
          <w:caps w:val="0"/>
          <w:color w:val="auto"/>
          <w:spacing w:val="3"/>
          <w:sz w:val="32"/>
          <w:szCs w:val="32"/>
          <w:shd w:val="clear" w:color="auto" w:fill="FFFFFF"/>
        </w:rPr>
        <w:t>促进非学科类校外培训机构规范有序发展</w:t>
      </w:r>
      <w:r>
        <w:rPr>
          <w:rFonts w:hint="eastAsia" w:ascii="仿宋_GB2312" w:hAnsi="仿宋_GB2312" w:eastAsia="仿宋_GB2312" w:cs="仿宋_GB2312"/>
          <w:i w:val="0"/>
          <w:caps w:val="0"/>
          <w:color w:val="auto"/>
          <w:spacing w:val="3"/>
          <w:sz w:val="32"/>
          <w:szCs w:val="32"/>
          <w:shd w:val="clear" w:color="auto" w:fill="FFFFFF"/>
          <w:lang w:eastAsia="zh-CN"/>
        </w:rPr>
        <w:t>。</w:t>
      </w:r>
      <w:r>
        <w:rPr>
          <w:rFonts w:hint="eastAsia" w:ascii="仿宋_GB2312" w:hAnsi="仿宋_GB2312" w:eastAsia="仿宋_GB2312" w:cs="仿宋_GB2312"/>
          <w:i w:val="0"/>
          <w:caps w:val="0"/>
          <w:color w:val="auto"/>
          <w:spacing w:val="3"/>
          <w:sz w:val="32"/>
          <w:szCs w:val="32"/>
          <w:shd w:val="clear" w:color="auto" w:fill="FFFFFF"/>
          <w:lang w:val="en-US" w:eastAsia="zh-CN"/>
        </w:rPr>
        <w:t>指导有关部门</w:t>
      </w:r>
      <w:r>
        <w:rPr>
          <w:rFonts w:hint="eastAsia" w:ascii="仿宋_GB2312" w:hAnsi="仿宋_GB2312" w:eastAsia="仿宋_GB2312" w:cs="仿宋_GB2312"/>
          <w:i w:val="0"/>
          <w:caps w:val="0"/>
          <w:color w:val="auto"/>
          <w:spacing w:val="3"/>
          <w:sz w:val="32"/>
          <w:szCs w:val="32"/>
          <w:shd w:val="clear" w:color="auto" w:fill="FFFFFF"/>
        </w:rPr>
        <w:t>根据省、市有关文件精神，</w:t>
      </w:r>
      <w:r>
        <w:rPr>
          <w:rFonts w:hint="eastAsia" w:ascii="仿宋_GB2312" w:hAnsi="仿宋_GB2312" w:eastAsia="仿宋_GB2312" w:cs="仿宋_GB2312"/>
          <w:i w:val="0"/>
          <w:caps w:val="0"/>
          <w:color w:val="auto"/>
          <w:spacing w:val="3"/>
          <w:sz w:val="32"/>
          <w:szCs w:val="32"/>
          <w:shd w:val="clear" w:color="auto" w:fill="FFFFFF"/>
          <w:lang w:eastAsia="zh-CN"/>
        </w:rPr>
        <w:t>开展</w:t>
      </w:r>
      <w:r>
        <w:rPr>
          <w:rFonts w:hint="eastAsia" w:ascii="仿宋_GB2312" w:hAnsi="仿宋_GB2312" w:eastAsia="仿宋_GB2312" w:cs="仿宋_GB2312"/>
          <w:i w:val="0"/>
          <w:caps w:val="0"/>
          <w:color w:val="auto"/>
          <w:spacing w:val="3"/>
          <w:sz w:val="32"/>
          <w:szCs w:val="32"/>
          <w:shd w:val="clear" w:color="auto" w:fill="FFFFFF"/>
        </w:rPr>
        <w:t>非学科类培训机构审批办证工作，把握标准、严格实施</w:t>
      </w:r>
      <w:r>
        <w:rPr>
          <w:rFonts w:hint="eastAsia" w:ascii="仿宋_GB2312" w:hAnsi="仿宋_GB2312" w:eastAsia="仿宋_GB2312" w:cs="仿宋_GB2312"/>
          <w:i w:val="0"/>
          <w:caps w:val="0"/>
          <w:color w:val="auto"/>
          <w:spacing w:val="3"/>
          <w:sz w:val="32"/>
          <w:szCs w:val="32"/>
          <w:shd w:val="clear" w:color="auto" w:fill="FFFFFF"/>
          <w:lang w:eastAsia="zh-CN"/>
        </w:rPr>
        <w:t>、</w:t>
      </w:r>
      <w:r>
        <w:rPr>
          <w:rFonts w:hint="eastAsia" w:ascii="仿宋_GB2312" w:hAnsi="仿宋_GB2312" w:eastAsia="仿宋_GB2312" w:cs="仿宋_GB2312"/>
          <w:i w:val="0"/>
          <w:caps w:val="0"/>
          <w:color w:val="auto"/>
          <w:spacing w:val="3"/>
          <w:sz w:val="32"/>
          <w:szCs w:val="32"/>
          <w:shd w:val="clear" w:color="auto" w:fill="FFFFFF"/>
        </w:rPr>
        <w:t>稳妥推进，</w:t>
      </w:r>
      <w:r>
        <w:rPr>
          <w:rFonts w:hint="eastAsia" w:ascii="仿宋_GB2312" w:hAnsi="仿宋_GB2312" w:eastAsia="仿宋_GB2312" w:cs="仿宋_GB2312"/>
          <w:i w:val="0"/>
          <w:caps w:val="0"/>
          <w:color w:val="auto"/>
          <w:spacing w:val="3"/>
          <w:sz w:val="32"/>
          <w:szCs w:val="32"/>
          <w:shd w:val="clear" w:color="auto" w:fill="FFFFFF"/>
          <w:lang w:val="en-US" w:eastAsia="zh-CN"/>
        </w:rPr>
        <w:t>促使非学科类校外培训机构</w:t>
      </w:r>
      <w:r>
        <w:rPr>
          <w:rFonts w:hint="eastAsia" w:ascii="仿宋_GB2312" w:hAnsi="仿宋_GB2312" w:eastAsia="仿宋_GB2312" w:cs="仿宋_GB2312"/>
          <w:i w:val="0"/>
          <w:caps w:val="0"/>
          <w:color w:val="auto"/>
          <w:spacing w:val="3"/>
          <w:sz w:val="32"/>
          <w:szCs w:val="32"/>
          <w:shd w:val="clear" w:color="auto" w:fill="FFFFFF"/>
        </w:rPr>
        <w:t>更好地发挥</w:t>
      </w:r>
      <w:r>
        <w:rPr>
          <w:rFonts w:hint="eastAsia" w:ascii="仿宋_GB2312" w:hAnsi="仿宋_GB2312" w:eastAsia="仿宋_GB2312" w:cs="仿宋_GB2312"/>
          <w:i w:val="0"/>
          <w:caps w:val="0"/>
          <w:color w:val="auto"/>
          <w:spacing w:val="3"/>
          <w:sz w:val="32"/>
          <w:szCs w:val="32"/>
          <w:shd w:val="clear" w:color="auto" w:fill="FFFFFF"/>
          <w:lang w:val="en-US" w:eastAsia="zh-CN"/>
        </w:rPr>
        <w:t>其</w:t>
      </w:r>
      <w:r>
        <w:rPr>
          <w:rFonts w:hint="eastAsia" w:ascii="仿宋_GB2312" w:hAnsi="仿宋_GB2312" w:eastAsia="仿宋_GB2312" w:cs="仿宋_GB2312"/>
          <w:i w:val="0"/>
          <w:caps w:val="0"/>
          <w:color w:val="auto"/>
          <w:spacing w:val="3"/>
          <w:sz w:val="32"/>
          <w:szCs w:val="32"/>
          <w:shd w:val="clear" w:color="auto" w:fill="FFFFFF"/>
        </w:rPr>
        <w:t>公益性属性和补充性教育功能</w:t>
      </w:r>
      <w:r>
        <w:rPr>
          <w:rFonts w:hint="eastAsia" w:ascii="仿宋_GB2312" w:hAnsi="仿宋_GB2312" w:eastAsia="仿宋_GB2312" w:cs="仿宋_GB2312"/>
          <w:i w:val="0"/>
          <w:caps w:val="0"/>
          <w:color w:val="auto"/>
          <w:spacing w:val="3"/>
          <w:sz w:val="32"/>
          <w:szCs w:val="32"/>
          <w:shd w:val="clear" w:color="auto" w:fill="FFFFFF"/>
          <w:lang w:eastAsia="zh-CN"/>
        </w:rPr>
        <w:t>。</w:t>
      </w:r>
      <w:r>
        <w:rPr>
          <w:rFonts w:hint="eastAsia" w:ascii="仿宋_GB2312" w:hAnsi="仿宋_GB2312" w:eastAsia="仿宋_GB2312" w:cs="仿宋_GB2312"/>
          <w:b/>
          <w:bCs/>
          <w:color w:val="auto"/>
          <w:sz w:val="32"/>
          <w:szCs w:val="32"/>
          <w:lang w:eastAsia="zh-CN"/>
        </w:rPr>
        <w:t>二是</w:t>
      </w:r>
      <w:r>
        <w:rPr>
          <w:rFonts w:hint="eastAsia" w:ascii="仿宋_GB2312" w:hAnsi="仿宋_GB2312" w:eastAsia="仿宋_GB2312" w:cs="仿宋_GB2312"/>
          <w:color w:val="auto"/>
          <w:sz w:val="32"/>
          <w:szCs w:val="32"/>
          <w:lang w:eastAsia="zh-CN"/>
        </w:rPr>
        <w:t>抓创作出产品。各有关部门结合单位职能，</w:t>
      </w:r>
      <w:r>
        <w:rPr>
          <w:rFonts w:hint="eastAsia" w:ascii="仿宋_GB2312" w:hAnsi="仿宋_GB2312" w:eastAsia="仿宋_GB2312" w:cs="仿宋_GB2312"/>
          <w:color w:val="auto"/>
          <w:sz w:val="32"/>
          <w:szCs w:val="32"/>
          <w:lang w:val="en-US" w:eastAsia="zh-CN"/>
        </w:rPr>
        <w:t>要积极</w:t>
      </w:r>
      <w:r>
        <w:rPr>
          <w:rFonts w:hint="eastAsia" w:ascii="仿宋_GB2312" w:hAnsi="仿宋_GB2312" w:eastAsia="仿宋_GB2312" w:cs="仿宋_GB2312"/>
          <w:color w:val="auto"/>
          <w:sz w:val="32"/>
          <w:szCs w:val="32"/>
          <w:lang w:eastAsia="zh-CN"/>
        </w:rPr>
        <w:t>创作、传播有利于未成年人健康成长的图书、广播电视节目舞台艺术作品、音像制品、电子出版物、网络动漫、微视频等文化产品。</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5531A9E-1D63-4810-94B4-8E37BDB22A9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AE93CF9E-F75D-46DA-96E0-ED4A842D73EE}"/>
  </w:font>
  <w:font w:name="方正小标宋简体">
    <w:panose1 w:val="03000509000000000000"/>
    <w:charset w:val="86"/>
    <w:family w:val="auto"/>
    <w:pitch w:val="default"/>
    <w:sig w:usb0="00000001" w:usb1="080E0000" w:usb2="00000000" w:usb3="00000000" w:csb0="00040000" w:csb1="00000000"/>
    <w:embedRegular r:id="rId3" w:fontKey="{CA741701-565C-4F07-B9C7-20E28EAF8A7B}"/>
  </w:font>
  <w:font w:name="楷体_GB2312">
    <w:panose1 w:val="02010609030101010101"/>
    <w:charset w:val="86"/>
    <w:family w:val="auto"/>
    <w:pitch w:val="default"/>
    <w:sig w:usb0="00000001" w:usb1="080E0000" w:usb2="00000000" w:usb3="00000000" w:csb0="00040000" w:csb1="00000000"/>
    <w:embedRegular r:id="rId4" w:fontKey="{9B906DA0-EA83-4EEA-B1FC-E61B1C5B71B8}"/>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5"/>
                          </w:pPr>
                          <w:r>
                            <w:rPr>
                              <w:rFonts w:hint="eastAsia" w:ascii="仿宋_GB2312" w:hAnsi="仿宋_GB2312" w:eastAsia="仿宋_GB2312" w:cs="仿宋_GB2312"/>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仿宋_GB2312" w:hAnsi="仿宋_GB2312" w:eastAsia="仿宋_GB2312" w:cs="仿宋_GB2312"/>
                              <w:sz w:val="28"/>
                              <w:szCs w:val="28"/>
                            </w:rPr>
                            <w:t xml:space="preserve"> —</w:t>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ySV/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TJJX/tIBAACeAwAADgAAAAAAAAABACAAAAAfAQAA&#10;ZHJzL2Uyb0RvYy54bWxQSwUGAAAAAAYABgBZAQAAYwUAAAAA&#10;">
              <v:fill on="f" focussize="0,0"/>
              <v:stroke on="f"/>
              <v:imagedata o:title=""/>
              <o:lock v:ext="edit" aspectratio="f"/>
              <v:textbox inset="0mm,0mm,0mm,0mm" style="mso-fit-shape-to-text:t;">
                <w:txbxContent>
                  <w:p>
                    <w:pPr>
                      <w:pStyle w:val="5"/>
                    </w:pPr>
                    <w:r>
                      <w:rPr>
                        <w:rFonts w:hint="eastAsia" w:ascii="仿宋_GB2312" w:hAnsi="仿宋_GB2312" w:eastAsia="仿宋_GB2312" w:cs="仿宋_GB2312"/>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仿宋_GB2312" w:hAnsi="仿宋_GB2312" w:eastAsia="仿宋_GB2312" w:cs="仿宋_GB2312"/>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jZjUyMjg1MDQ1MDVhY2Y5Y2Q5OTFjMjhjYzI0YjcifQ=="/>
  </w:docVars>
  <w:rsids>
    <w:rsidRoot w:val="00000000"/>
    <w:rsid w:val="047D48B1"/>
    <w:rsid w:val="14543C1F"/>
    <w:rsid w:val="152D0613"/>
    <w:rsid w:val="28DF592C"/>
    <w:rsid w:val="40526FD9"/>
    <w:rsid w:val="420D5391"/>
    <w:rsid w:val="4F401716"/>
    <w:rsid w:val="7B5E2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rPr>
  </w:style>
  <w:style w:type="character" w:default="1" w:styleId="9">
    <w:name w:val="Default Paragraph Font"/>
    <w:qFormat/>
    <w:uiPriority w:val="0"/>
  </w:style>
  <w:style w:type="table" w:default="1" w:styleId="8">
    <w:name w:val="Normal Table"/>
    <w:qFormat/>
    <w:uiPriority w:val="0"/>
    <w:tblPr>
      <w:tblCellMar>
        <w:top w:w="0" w:type="dxa"/>
        <w:left w:w="108" w:type="dxa"/>
        <w:bottom w:w="0" w:type="dxa"/>
        <w:right w:w="108" w:type="dxa"/>
      </w:tblCellMar>
    </w:tblPr>
  </w:style>
  <w:style w:type="paragraph" w:styleId="2">
    <w:name w:val="Body Text"/>
    <w:basedOn w:val="1"/>
    <w:next w:val="1"/>
    <w:qFormat/>
    <w:uiPriority w:val="0"/>
    <w:pPr>
      <w:adjustRightInd w:val="0"/>
      <w:spacing w:line="540" w:lineRule="exact"/>
      <w:textAlignment w:val="baseline"/>
    </w:pPr>
    <w:rPr>
      <w:rFonts w:ascii="仿宋_GB2312" w:eastAsia="仿宋_GB2312"/>
      <w:kern w:val="0"/>
      <w:sz w:val="30"/>
      <w:szCs w:val="20"/>
    </w:rPr>
  </w:style>
  <w:style w:type="paragraph" w:styleId="4">
    <w:name w:val="annotation text"/>
    <w:basedOn w:val="1"/>
    <w:qFormat/>
    <w:uiPriority w:val="0"/>
    <w:pPr>
      <w:jc w:val="left"/>
    </w:p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rPr>
  </w:style>
  <w:style w:type="paragraph" w:customStyle="1" w:styleId="10">
    <w:name w:val="正文-公1"/>
    <w:basedOn w:val="11"/>
    <w:qFormat/>
    <w:uiPriority w:val="99"/>
    <w:pPr>
      <w:ind w:firstLine="200" w:firstLineChars="200"/>
    </w:pPr>
    <w:rPr>
      <w:rFonts w:cs="Times New Roman"/>
    </w:rPr>
  </w:style>
  <w:style w:type="paragraph" w:customStyle="1" w:styleId="11">
    <w:name w:val="正文 New New"/>
    <w:next w:val="10"/>
    <w:qFormat/>
    <w:uiPriority w:val="99"/>
    <w:pPr>
      <w:widowControl w:val="0"/>
      <w:jc w:val="both"/>
    </w:pPr>
    <w:rPr>
      <w:rFonts w:ascii="Times New Roman" w:hAnsi="Times New Roman" w:eastAsia="宋体" w:cs="黑体"/>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95129f-36e1-455c-9659-b42e2774fc18}">
  <ds:schemaRefs/>
</ds:datastoreItem>
</file>

<file path=customXml/itemProps3.xml><?xml version="1.0" encoding="utf-8"?>
<ds:datastoreItem xmlns:ds="http://schemas.openxmlformats.org/officeDocument/2006/customXml" ds:itemID="{6510ab09-cdb2-4fe7-aeb3-fb9081def5ea}">
  <ds:schemaRefs/>
</ds:datastoreItem>
</file>

<file path=customXml/itemProps4.xml><?xml version="1.0" encoding="utf-8"?>
<ds:datastoreItem xmlns:ds="http://schemas.openxmlformats.org/officeDocument/2006/customXml" ds:itemID="{f71d872c-7517-4e50-a382-c547b1629243}">
  <ds:schemaRefs/>
</ds:datastoreItem>
</file>

<file path=docProps/app.xml><?xml version="1.0" encoding="utf-8"?>
<Properties xmlns="http://schemas.openxmlformats.org/officeDocument/2006/extended-properties" xmlns:vt="http://schemas.openxmlformats.org/officeDocument/2006/docPropsVTypes">
  <Template>Normal.dotm</Template>
  <Pages>12</Pages>
  <Words>6063</Words>
  <Characters>6184</Characters>
  <Paragraphs>57</Paragraphs>
  <TotalTime>6</TotalTime>
  <ScaleCrop>false</ScaleCrop>
  <LinksUpToDate>false</LinksUpToDate>
  <CharactersWithSpaces>6186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2023-02-09T03:24:00Z</dcterms:created>
  <dc:creator>ヅDanlyぺ</dc:creator>
  <cp:lastModifiedBy>宣传部</cp:lastModifiedBy>
  <dcterms:modified xsi:type="dcterms:W3CDTF">2023-06-15T08:58:17Z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2D1F81D22A1A473DAD4FA6F0E1967404</vt:lpwstr>
  </property>
</Properties>
</file>